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986EE" w14:textId="77777777" w:rsidR="00697630" w:rsidRPr="00547365" w:rsidRDefault="00B2387E">
      <w:pPr>
        <w:pStyle w:val="Title"/>
        <w:rPr>
          <w:color w:val="1F497D" w:themeColor="text2"/>
        </w:rPr>
      </w:pPr>
      <w:bookmarkStart w:id="0" w:name="Statement_of_Objects_and_Reasons"/>
      <w:bookmarkEnd w:id="0"/>
      <w:r w:rsidRPr="00547365">
        <w:rPr>
          <w:color w:val="1F497D" w:themeColor="text2"/>
        </w:rPr>
        <w:t>Statement</w:t>
      </w:r>
      <w:r w:rsidRPr="00547365">
        <w:rPr>
          <w:color w:val="1F497D" w:themeColor="text2"/>
          <w:spacing w:val="-6"/>
        </w:rPr>
        <w:t xml:space="preserve"> </w:t>
      </w:r>
      <w:r w:rsidRPr="00547365">
        <w:rPr>
          <w:color w:val="1F497D" w:themeColor="text2"/>
        </w:rPr>
        <w:t>of</w:t>
      </w:r>
      <w:r w:rsidRPr="00547365">
        <w:rPr>
          <w:color w:val="1F497D" w:themeColor="text2"/>
          <w:spacing w:val="-4"/>
        </w:rPr>
        <w:t xml:space="preserve"> </w:t>
      </w:r>
      <w:r w:rsidRPr="00547365">
        <w:rPr>
          <w:color w:val="1F497D" w:themeColor="text2"/>
        </w:rPr>
        <w:t>Objects</w:t>
      </w:r>
      <w:r w:rsidRPr="00547365">
        <w:rPr>
          <w:color w:val="1F497D" w:themeColor="text2"/>
          <w:spacing w:val="-4"/>
        </w:rPr>
        <w:t xml:space="preserve"> </w:t>
      </w:r>
      <w:r w:rsidRPr="00547365">
        <w:rPr>
          <w:color w:val="1F497D" w:themeColor="text2"/>
        </w:rPr>
        <w:t>and</w:t>
      </w:r>
      <w:r w:rsidRPr="00547365">
        <w:rPr>
          <w:color w:val="1F497D" w:themeColor="text2"/>
          <w:spacing w:val="-4"/>
        </w:rPr>
        <w:t xml:space="preserve"> </w:t>
      </w:r>
      <w:r w:rsidRPr="00547365">
        <w:rPr>
          <w:color w:val="1F497D" w:themeColor="text2"/>
          <w:spacing w:val="-2"/>
        </w:rPr>
        <w:t>Reasons</w:t>
      </w:r>
    </w:p>
    <w:p w14:paraId="2C5A44E2" w14:textId="77777777" w:rsidR="00697630" w:rsidRDefault="00697630">
      <w:pPr>
        <w:pStyle w:val="BodyText"/>
        <w:spacing w:before="3"/>
        <w:ind w:left="0"/>
        <w:rPr>
          <w:b/>
          <w:sz w:val="24"/>
        </w:rPr>
      </w:pPr>
    </w:p>
    <w:p w14:paraId="1E116593" w14:textId="77777777" w:rsidR="00697630" w:rsidRDefault="00B2387E">
      <w:pPr>
        <w:pStyle w:val="BodyText"/>
        <w:ind w:right="119"/>
        <w:jc w:val="both"/>
      </w:pPr>
      <w:r>
        <w:t>This</w:t>
      </w:r>
      <w:r>
        <w:rPr>
          <w:spacing w:val="-9"/>
        </w:rPr>
        <w:t xml:space="preserve"> </w:t>
      </w:r>
      <w:r>
        <w:t>Statement</w:t>
      </w:r>
      <w:r>
        <w:rPr>
          <w:spacing w:val="-8"/>
        </w:rPr>
        <w:t xml:space="preserve"> </w:t>
      </w:r>
      <w:r>
        <w:t>is</w:t>
      </w:r>
      <w:r>
        <w:rPr>
          <w:spacing w:val="-9"/>
        </w:rPr>
        <w:t xml:space="preserve"> </w:t>
      </w:r>
      <w:r>
        <w:t>published</w:t>
      </w:r>
      <w:r>
        <w:rPr>
          <w:spacing w:val="-10"/>
        </w:rPr>
        <w:t xml:space="preserve"> </w:t>
      </w:r>
      <w:r>
        <w:t>by</w:t>
      </w:r>
      <w:r>
        <w:rPr>
          <w:spacing w:val="-12"/>
        </w:rPr>
        <w:t xml:space="preserve"> </w:t>
      </w:r>
      <w:r>
        <w:t>the</w:t>
      </w:r>
      <w:r>
        <w:rPr>
          <w:spacing w:val="-10"/>
        </w:rPr>
        <w:t xml:space="preserve"> </w:t>
      </w:r>
      <w:r>
        <w:t>Shire</w:t>
      </w:r>
      <w:r>
        <w:rPr>
          <w:spacing w:val="-12"/>
        </w:rPr>
        <w:t xml:space="preserve"> </w:t>
      </w:r>
      <w:r>
        <w:t>of</w:t>
      </w:r>
      <w:r>
        <w:rPr>
          <w:spacing w:val="-7"/>
        </w:rPr>
        <w:t xml:space="preserve"> </w:t>
      </w:r>
      <w:r>
        <w:t>Boddington</w:t>
      </w:r>
      <w:r>
        <w:rPr>
          <w:spacing w:val="-9"/>
        </w:rPr>
        <w:t xml:space="preserve"> </w:t>
      </w:r>
      <w:r>
        <w:t>in</w:t>
      </w:r>
      <w:r>
        <w:rPr>
          <w:spacing w:val="-10"/>
        </w:rPr>
        <w:t xml:space="preserve"> </w:t>
      </w:r>
      <w:r>
        <w:t>accordance</w:t>
      </w:r>
      <w:r>
        <w:rPr>
          <w:spacing w:val="-12"/>
        </w:rPr>
        <w:t xml:space="preserve"> </w:t>
      </w:r>
      <w:r>
        <w:t>with</w:t>
      </w:r>
      <w:r>
        <w:rPr>
          <w:spacing w:val="-12"/>
        </w:rPr>
        <w:t xml:space="preserve"> </w:t>
      </w:r>
      <w:r>
        <w:t>Section</w:t>
      </w:r>
      <w:r>
        <w:rPr>
          <w:spacing w:val="-10"/>
        </w:rPr>
        <w:t xml:space="preserve"> </w:t>
      </w:r>
      <w:r>
        <w:t>6.36</w:t>
      </w:r>
      <w:r>
        <w:rPr>
          <w:spacing w:val="-12"/>
        </w:rPr>
        <w:t xml:space="preserve"> </w:t>
      </w:r>
      <w:r>
        <w:t>of</w:t>
      </w:r>
      <w:r>
        <w:rPr>
          <w:spacing w:val="-11"/>
        </w:rPr>
        <w:t xml:space="preserve"> </w:t>
      </w:r>
      <w:r>
        <w:t>the Local</w:t>
      </w:r>
      <w:r>
        <w:rPr>
          <w:spacing w:val="-16"/>
        </w:rPr>
        <w:t xml:space="preserve"> </w:t>
      </w:r>
      <w:r>
        <w:t>Government</w:t>
      </w:r>
      <w:r>
        <w:rPr>
          <w:spacing w:val="-15"/>
        </w:rPr>
        <w:t xml:space="preserve"> </w:t>
      </w:r>
      <w:r>
        <w:t>Act</w:t>
      </w:r>
      <w:r>
        <w:rPr>
          <w:spacing w:val="-15"/>
        </w:rPr>
        <w:t xml:space="preserve"> </w:t>
      </w:r>
      <w:r>
        <w:t>1995</w:t>
      </w:r>
      <w:r>
        <w:rPr>
          <w:spacing w:val="-16"/>
        </w:rPr>
        <w:t xml:space="preserve"> </w:t>
      </w:r>
      <w:r>
        <w:t>to</w:t>
      </w:r>
      <w:r>
        <w:rPr>
          <w:spacing w:val="-15"/>
        </w:rPr>
        <w:t xml:space="preserve"> </w:t>
      </w:r>
      <w:r>
        <w:t>advise</w:t>
      </w:r>
      <w:r>
        <w:rPr>
          <w:spacing w:val="-15"/>
        </w:rPr>
        <w:t xml:space="preserve"> </w:t>
      </w:r>
      <w:r>
        <w:t>the</w:t>
      </w:r>
      <w:r>
        <w:rPr>
          <w:spacing w:val="-15"/>
        </w:rPr>
        <w:t xml:space="preserve"> </w:t>
      </w:r>
      <w:r>
        <w:t>public</w:t>
      </w:r>
      <w:r>
        <w:rPr>
          <w:spacing w:val="-14"/>
        </w:rPr>
        <w:t xml:space="preserve"> </w:t>
      </w:r>
      <w:r>
        <w:t>of</w:t>
      </w:r>
      <w:r>
        <w:rPr>
          <w:spacing w:val="-16"/>
        </w:rPr>
        <w:t xml:space="preserve"> </w:t>
      </w:r>
      <w:r>
        <w:t>its</w:t>
      </w:r>
      <w:r>
        <w:rPr>
          <w:spacing w:val="-13"/>
        </w:rPr>
        <w:t xml:space="preserve"> </w:t>
      </w:r>
      <w:r>
        <w:t>objectives</w:t>
      </w:r>
      <w:r>
        <w:rPr>
          <w:spacing w:val="-14"/>
        </w:rPr>
        <w:t xml:space="preserve"> </w:t>
      </w:r>
      <w:r>
        <w:t>and</w:t>
      </w:r>
      <w:r>
        <w:rPr>
          <w:spacing w:val="-16"/>
        </w:rPr>
        <w:t xml:space="preserve"> </w:t>
      </w:r>
      <w:r>
        <w:t>reasons</w:t>
      </w:r>
      <w:r>
        <w:rPr>
          <w:spacing w:val="-15"/>
        </w:rPr>
        <w:t xml:space="preserve"> </w:t>
      </w:r>
      <w:r>
        <w:t>for</w:t>
      </w:r>
      <w:r>
        <w:rPr>
          <w:spacing w:val="-12"/>
        </w:rPr>
        <w:t xml:space="preserve"> </w:t>
      </w:r>
      <w:r>
        <w:t>implementing differential rates.</w:t>
      </w:r>
    </w:p>
    <w:p w14:paraId="1C727938" w14:textId="77777777" w:rsidR="00697630" w:rsidRDefault="00697630">
      <w:pPr>
        <w:pStyle w:val="BodyText"/>
        <w:spacing w:before="1"/>
        <w:ind w:left="0"/>
      </w:pPr>
    </w:p>
    <w:p w14:paraId="6EA11163" w14:textId="77777777" w:rsidR="00697630" w:rsidRDefault="00B2387E">
      <w:pPr>
        <w:pStyle w:val="BodyText"/>
        <w:ind w:right="117"/>
        <w:jc w:val="both"/>
      </w:pPr>
      <w:r>
        <w:t xml:space="preserve">The purpose of levying rates is to meet Council’s budgetary requirements in each financial year in order to deliver services, facilities and community infrastructure. Property valuations provided by the </w:t>
      </w:r>
      <w:proofErr w:type="spellStart"/>
      <w:r>
        <w:t>Valuer</w:t>
      </w:r>
      <w:proofErr w:type="spellEnd"/>
      <w:r>
        <w:t xml:space="preserve"> General are used as the basis for the calculation of rates each year.</w:t>
      </w:r>
    </w:p>
    <w:p w14:paraId="3424FE13" w14:textId="77777777" w:rsidR="00697630" w:rsidRDefault="00697630">
      <w:pPr>
        <w:pStyle w:val="BodyText"/>
        <w:spacing w:before="9"/>
        <w:ind w:left="0"/>
        <w:rPr>
          <w:sz w:val="21"/>
        </w:rPr>
      </w:pPr>
    </w:p>
    <w:p w14:paraId="0A33E32A" w14:textId="77777777" w:rsidR="00697630" w:rsidRDefault="00B2387E">
      <w:pPr>
        <w:pStyle w:val="BodyText"/>
        <w:spacing w:before="1"/>
        <w:ind w:left="119" w:right="116"/>
        <w:jc w:val="both"/>
      </w:pPr>
      <w:r>
        <w:t>Section 6.36 of the Local Government Act provides the ability to differentially rate properties based on zoning and/or land use as determined by the Shire of Boddington. The application of differential</w:t>
      </w:r>
      <w:r>
        <w:rPr>
          <w:spacing w:val="-1"/>
        </w:rPr>
        <w:t xml:space="preserve"> </w:t>
      </w:r>
      <w:r>
        <w:t>rating maintains equity</w:t>
      </w:r>
      <w:r>
        <w:rPr>
          <w:spacing w:val="-1"/>
        </w:rPr>
        <w:t xml:space="preserve"> </w:t>
      </w:r>
      <w:r>
        <w:t>in the</w:t>
      </w:r>
      <w:r>
        <w:rPr>
          <w:spacing w:val="-2"/>
        </w:rPr>
        <w:t xml:space="preserve"> </w:t>
      </w:r>
      <w:r>
        <w:t>rating</w:t>
      </w:r>
      <w:r>
        <w:rPr>
          <w:spacing w:val="-2"/>
        </w:rPr>
        <w:t xml:space="preserve"> </w:t>
      </w:r>
      <w:r>
        <w:t>of properties</w:t>
      </w:r>
      <w:r>
        <w:rPr>
          <w:spacing w:val="-1"/>
        </w:rPr>
        <w:t xml:space="preserve"> </w:t>
      </w:r>
      <w:r>
        <w:t>across</w:t>
      </w:r>
      <w:r>
        <w:rPr>
          <w:spacing w:val="-1"/>
        </w:rPr>
        <w:t xml:space="preserve"> </w:t>
      </w:r>
      <w:r>
        <w:t>the</w:t>
      </w:r>
      <w:r>
        <w:rPr>
          <w:spacing w:val="-2"/>
        </w:rPr>
        <w:t xml:space="preserve"> </w:t>
      </w:r>
      <w:r>
        <w:t>Shire, enabling the Council</w:t>
      </w:r>
      <w:r>
        <w:rPr>
          <w:spacing w:val="-7"/>
        </w:rPr>
        <w:t xml:space="preserve"> </w:t>
      </w:r>
      <w:r>
        <w:t>to</w:t>
      </w:r>
      <w:r>
        <w:rPr>
          <w:spacing w:val="-6"/>
        </w:rPr>
        <w:t xml:space="preserve"> </w:t>
      </w:r>
      <w:r>
        <w:t>provide</w:t>
      </w:r>
      <w:r>
        <w:rPr>
          <w:spacing w:val="-6"/>
        </w:rPr>
        <w:t xml:space="preserve"> </w:t>
      </w:r>
      <w:r>
        <w:t>facilities,</w:t>
      </w:r>
      <w:r>
        <w:rPr>
          <w:spacing w:val="-5"/>
        </w:rPr>
        <w:t xml:space="preserve"> </w:t>
      </w:r>
      <w:r>
        <w:t>services</w:t>
      </w:r>
      <w:r>
        <w:rPr>
          <w:spacing w:val="-6"/>
        </w:rPr>
        <w:t xml:space="preserve"> </w:t>
      </w:r>
      <w:r>
        <w:t>and</w:t>
      </w:r>
      <w:r>
        <w:rPr>
          <w:spacing w:val="-6"/>
        </w:rPr>
        <w:t xml:space="preserve"> </w:t>
      </w:r>
      <w:r>
        <w:t>infrastructure</w:t>
      </w:r>
      <w:r>
        <w:rPr>
          <w:spacing w:val="-9"/>
        </w:rPr>
        <w:t xml:space="preserve"> </w:t>
      </w:r>
      <w:r>
        <w:t>to</w:t>
      </w:r>
      <w:r>
        <w:rPr>
          <w:spacing w:val="-6"/>
        </w:rPr>
        <w:t xml:space="preserve"> </w:t>
      </w:r>
      <w:r>
        <w:t>the</w:t>
      </w:r>
      <w:r>
        <w:rPr>
          <w:spacing w:val="-6"/>
        </w:rPr>
        <w:t xml:space="preserve"> </w:t>
      </w:r>
      <w:r>
        <w:t>entire</w:t>
      </w:r>
      <w:r>
        <w:rPr>
          <w:spacing w:val="-6"/>
        </w:rPr>
        <w:t xml:space="preserve"> </w:t>
      </w:r>
      <w:r>
        <w:t>community</w:t>
      </w:r>
      <w:r>
        <w:rPr>
          <w:spacing w:val="-8"/>
        </w:rPr>
        <w:t xml:space="preserve"> </w:t>
      </w:r>
      <w:r>
        <w:t>and</w:t>
      </w:r>
      <w:r>
        <w:rPr>
          <w:spacing w:val="-6"/>
        </w:rPr>
        <w:t xml:space="preserve"> </w:t>
      </w:r>
      <w:r>
        <w:t>visitors</w:t>
      </w:r>
      <w:r>
        <w:rPr>
          <w:spacing w:val="-6"/>
        </w:rPr>
        <w:t xml:space="preserve"> </w:t>
      </w:r>
      <w:r>
        <w:t>to the area.</w:t>
      </w:r>
    </w:p>
    <w:p w14:paraId="039E87F2" w14:textId="77777777" w:rsidR="00697630" w:rsidRDefault="00697630">
      <w:pPr>
        <w:pStyle w:val="BodyText"/>
        <w:ind w:left="0"/>
      </w:pPr>
    </w:p>
    <w:p w14:paraId="73D1FF8A" w14:textId="661D5079" w:rsidR="00697630" w:rsidRDefault="00B2387E">
      <w:pPr>
        <w:pStyle w:val="BodyText"/>
        <w:spacing w:before="1"/>
        <w:ind w:left="119"/>
        <w:jc w:val="both"/>
      </w:pPr>
      <w:r>
        <w:t>Summary</w:t>
      </w:r>
      <w:r>
        <w:rPr>
          <w:spacing w:val="-8"/>
        </w:rPr>
        <w:t xml:space="preserve"> </w:t>
      </w:r>
      <w:r>
        <w:t>of</w:t>
      </w:r>
      <w:r>
        <w:rPr>
          <w:spacing w:val="-3"/>
        </w:rPr>
        <w:t xml:space="preserve"> </w:t>
      </w:r>
      <w:r>
        <w:t>the</w:t>
      </w:r>
      <w:r>
        <w:rPr>
          <w:spacing w:val="-5"/>
        </w:rPr>
        <w:t xml:space="preserve"> </w:t>
      </w:r>
      <w:r>
        <w:t>proposed</w:t>
      </w:r>
      <w:r>
        <w:rPr>
          <w:spacing w:val="-4"/>
        </w:rPr>
        <w:t xml:space="preserve"> </w:t>
      </w:r>
      <w:r>
        <w:t>minimum</w:t>
      </w:r>
      <w:r>
        <w:rPr>
          <w:spacing w:val="-3"/>
        </w:rPr>
        <w:t xml:space="preserve"> </w:t>
      </w:r>
      <w:r>
        <w:t>payments</w:t>
      </w:r>
      <w:r>
        <w:rPr>
          <w:spacing w:val="-3"/>
        </w:rPr>
        <w:t xml:space="preserve"> </w:t>
      </w:r>
      <w:r>
        <w:t>and</w:t>
      </w:r>
      <w:r>
        <w:rPr>
          <w:spacing w:val="-4"/>
        </w:rPr>
        <w:t xml:space="preserve"> </w:t>
      </w:r>
      <w:r>
        <w:t>rates</w:t>
      </w:r>
      <w:r>
        <w:rPr>
          <w:spacing w:val="-3"/>
        </w:rPr>
        <w:t xml:space="preserve"> </w:t>
      </w:r>
      <w:r>
        <w:t>in</w:t>
      </w:r>
      <w:r>
        <w:rPr>
          <w:spacing w:val="-6"/>
        </w:rPr>
        <w:t xml:space="preserve"> </w:t>
      </w:r>
      <w:r>
        <w:t>the</w:t>
      </w:r>
      <w:r>
        <w:rPr>
          <w:spacing w:val="-5"/>
        </w:rPr>
        <w:t xml:space="preserve"> </w:t>
      </w:r>
      <w:r>
        <w:t>dollar</w:t>
      </w:r>
      <w:r>
        <w:rPr>
          <w:spacing w:val="-5"/>
        </w:rPr>
        <w:t xml:space="preserve"> </w:t>
      </w:r>
      <w:r>
        <w:t>for</w:t>
      </w:r>
      <w:r w:rsidR="00BE0AD4">
        <w:rPr>
          <w:spacing w:val="-2"/>
        </w:rPr>
        <w:t xml:space="preserve"> 2024/25</w:t>
      </w:r>
      <w:bookmarkStart w:id="1" w:name="_GoBack"/>
      <w:bookmarkEnd w:id="1"/>
      <w:r>
        <w:rPr>
          <w:spacing w:val="-2"/>
        </w:rPr>
        <w:t>.</w:t>
      </w:r>
    </w:p>
    <w:p w14:paraId="5A454CEA" w14:textId="77777777" w:rsidR="00697630" w:rsidRDefault="00697630">
      <w:pPr>
        <w:pStyle w:val="BodyText"/>
        <w:spacing w:before="3"/>
        <w:ind w:left="0"/>
      </w:pP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0"/>
        <w:gridCol w:w="2774"/>
        <w:gridCol w:w="1903"/>
      </w:tblGrid>
      <w:tr w:rsidR="00697630" w14:paraId="1553AD24" w14:textId="77777777">
        <w:trPr>
          <w:trHeight w:val="251"/>
        </w:trPr>
        <w:tc>
          <w:tcPr>
            <w:tcW w:w="2820" w:type="dxa"/>
          </w:tcPr>
          <w:p w14:paraId="2FA4898C" w14:textId="77777777" w:rsidR="00697630" w:rsidRDefault="00B2387E">
            <w:pPr>
              <w:pStyle w:val="TableParagraph"/>
              <w:jc w:val="left"/>
              <w:rPr>
                <w:b/>
              </w:rPr>
            </w:pPr>
            <w:r>
              <w:rPr>
                <w:b/>
              </w:rPr>
              <w:t>Rating</w:t>
            </w:r>
            <w:r>
              <w:rPr>
                <w:b/>
                <w:spacing w:val="-2"/>
              </w:rPr>
              <w:t xml:space="preserve"> Category</w:t>
            </w:r>
          </w:p>
        </w:tc>
        <w:tc>
          <w:tcPr>
            <w:tcW w:w="2774" w:type="dxa"/>
          </w:tcPr>
          <w:p w14:paraId="563D7FD9" w14:textId="77777777" w:rsidR="00697630" w:rsidRDefault="00B2387E">
            <w:pPr>
              <w:pStyle w:val="TableParagraph"/>
              <w:ind w:left="472" w:right="461"/>
              <w:rPr>
                <w:b/>
              </w:rPr>
            </w:pPr>
            <w:r>
              <w:rPr>
                <w:b/>
              </w:rPr>
              <w:t>Rate</w:t>
            </w:r>
            <w:r>
              <w:rPr>
                <w:b/>
                <w:spacing w:val="-2"/>
              </w:rPr>
              <w:t xml:space="preserve"> </w:t>
            </w:r>
            <w:r>
              <w:rPr>
                <w:b/>
              </w:rPr>
              <w:t>in</w:t>
            </w:r>
            <w:r>
              <w:rPr>
                <w:b/>
                <w:spacing w:val="-3"/>
              </w:rPr>
              <w:t xml:space="preserve"> </w:t>
            </w:r>
            <w:r>
              <w:rPr>
                <w:b/>
              </w:rPr>
              <w:t>the</w:t>
            </w:r>
            <w:r>
              <w:rPr>
                <w:b/>
                <w:spacing w:val="-2"/>
              </w:rPr>
              <w:t xml:space="preserve"> Dollar</w:t>
            </w:r>
          </w:p>
        </w:tc>
        <w:tc>
          <w:tcPr>
            <w:tcW w:w="1903" w:type="dxa"/>
          </w:tcPr>
          <w:p w14:paraId="105E8652" w14:textId="77777777" w:rsidR="00697630" w:rsidRDefault="00B2387E">
            <w:pPr>
              <w:pStyle w:val="TableParagraph"/>
              <w:ind w:left="190" w:right="179"/>
              <w:rPr>
                <w:b/>
              </w:rPr>
            </w:pPr>
            <w:r>
              <w:rPr>
                <w:b/>
              </w:rPr>
              <w:t>Minimum</w:t>
            </w:r>
            <w:r>
              <w:rPr>
                <w:b/>
                <w:spacing w:val="-5"/>
              </w:rPr>
              <w:t xml:space="preserve"> </w:t>
            </w:r>
            <w:r>
              <w:rPr>
                <w:b/>
                <w:spacing w:val="-4"/>
              </w:rPr>
              <w:t>Rate</w:t>
            </w:r>
          </w:p>
        </w:tc>
      </w:tr>
      <w:tr w:rsidR="00547365" w14:paraId="43C08570" w14:textId="77777777" w:rsidTr="00EE5622">
        <w:trPr>
          <w:trHeight w:val="254"/>
        </w:trPr>
        <w:tc>
          <w:tcPr>
            <w:tcW w:w="2820" w:type="dxa"/>
          </w:tcPr>
          <w:p w14:paraId="4625FE24" w14:textId="77777777" w:rsidR="00547365" w:rsidRDefault="00547365" w:rsidP="00547365">
            <w:pPr>
              <w:pStyle w:val="TableParagraph"/>
              <w:spacing w:line="234" w:lineRule="exact"/>
              <w:jc w:val="left"/>
            </w:pPr>
            <w:r>
              <w:t>GRV</w:t>
            </w:r>
            <w:r>
              <w:rPr>
                <w:spacing w:val="-3"/>
              </w:rPr>
              <w:t xml:space="preserve"> </w:t>
            </w:r>
            <w:r>
              <w:rPr>
                <w:spacing w:val="-2"/>
              </w:rPr>
              <w:t>General</w:t>
            </w:r>
          </w:p>
        </w:tc>
        <w:tc>
          <w:tcPr>
            <w:tcW w:w="2774" w:type="dxa"/>
            <w:shd w:val="clear" w:color="auto" w:fill="auto"/>
          </w:tcPr>
          <w:p w14:paraId="3A939088" w14:textId="487E1019" w:rsidR="00547365" w:rsidRPr="00547365" w:rsidRDefault="00547365" w:rsidP="00003B2D">
            <w:pPr>
              <w:jc w:val="center"/>
            </w:pPr>
            <w:r w:rsidRPr="00547365">
              <w:t>0.1</w:t>
            </w:r>
            <w:r w:rsidR="00003B2D">
              <w:t>22613</w:t>
            </w:r>
          </w:p>
        </w:tc>
        <w:tc>
          <w:tcPr>
            <w:tcW w:w="1903" w:type="dxa"/>
            <w:shd w:val="clear" w:color="auto" w:fill="auto"/>
          </w:tcPr>
          <w:p w14:paraId="4A1C88FF" w14:textId="0FB88D21" w:rsidR="00547365" w:rsidRPr="00547365" w:rsidRDefault="00547365" w:rsidP="00003B2D">
            <w:pPr>
              <w:jc w:val="center"/>
            </w:pPr>
            <w:r w:rsidRPr="00547365">
              <w:t>$</w:t>
            </w:r>
            <w:r w:rsidR="00003B2D">
              <w:t>1,002</w:t>
            </w:r>
          </w:p>
        </w:tc>
      </w:tr>
      <w:tr w:rsidR="00547365" w14:paraId="17E14B37" w14:textId="77777777" w:rsidTr="00EE5622">
        <w:trPr>
          <w:trHeight w:val="251"/>
        </w:trPr>
        <w:tc>
          <w:tcPr>
            <w:tcW w:w="2820" w:type="dxa"/>
          </w:tcPr>
          <w:p w14:paraId="4BCBFB9E" w14:textId="77777777" w:rsidR="00547365" w:rsidRDefault="00547365" w:rsidP="00547365">
            <w:pPr>
              <w:pStyle w:val="TableParagraph"/>
              <w:jc w:val="left"/>
            </w:pPr>
            <w:r>
              <w:t>UV</w:t>
            </w:r>
            <w:r>
              <w:rPr>
                <w:spacing w:val="-2"/>
              </w:rPr>
              <w:t xml:space="preserve"> General</w:t>
            </w:r>
          </w:p>
        </w:tc>
        <w:tc>
          <w:tcPr>
            <w:tcW w:w="2774" w:type="dxa"/>
            <w:shd w:val="clear" w:color="auto" w:fill="auto"/>
          </w:tcPr>
          <w:p w14:paraId="6B80C5BF" w14:textId="242CDF68" w:rsidR="00547365" w:rsidRPr="00547365" w:rsidRDefault="00547365" w:rsidP="00003B2D">
            <w:pPr>
              <w:jc w:val="center"/>
            </w:pPr>
            <w:r w:rsidRPr="00547365">
              <w:t>0.00</w:t>
            </w:r>
            <w:r w:rsidR="00003B2D">
              <w:t>4320</w:t>
            </w:r>
          </w:p>
        </w:tc>
        <w:tc>
          <w:tcPr>
            <w:tcW w:w="1903" w:type="dxa"/>
            <w:shd w:val="clear" w:color="auto" w:fill="auto"/>
          </w:tcPr>
          <w:p w14:paraId="462F1910" w14:textId="1A6FDB50" w:rsidR="00547365" w:rsidRPr="00547365" w:rsidRDefault="00003B2D" w:rsidP="00547365">
            <w:pPr>
              <w:jc w:val="center"/>
            </w:pPr>
            <w:r w:rsidRPr="00547365">
              <w:t>$</w:t>
            </w:r>
            <w:r>
              <w:t>1,002</w:t>
            </w:r>
          </w:p>
        </w:tc>
      </w:tr>
      <w:tr w:rsidR="00547365" w14:paraId="158F9B8C" w14:textId="77777777" w:rsidTr="00EE5622">
        <w:trPr>
          <w:trHeight w:val="254"/>
        </w:trPr>
        <w:tc>
          <w:tcPr>
            <w:tcW w:w="2820" w:type="dxa"/>
          </w:tcPr>
          <w:p w14:paraId="390F2CA3" w14:textId="77777777" w:rsidR="00547365" w:rsidRDefault="00547365" w:rsidP="00547365">
            <w:pPr>
              <w:pStyle w:val="TableParagraph"/>
              <w:spacing w:line="234" w:lineRule="exact"/>
              <w:jc w:val="left"/>
            </w:pPr>
            <w:r>
              <w:t>UV</w:t>
            </w:r>
            <w:r>
              <w:rPr>
                <w:spacing w:val="-2"/>
              </w:rPr>
              <w:t xml:space="preserve"> Mining</w:t>
            </w:r>
          </w:p>
        </w:tc>
        <w:tc>
          <w:tcPr>
            <w:tcW w:w="2774" w:type="dxa"/>
            <w:shd w:val="clear" w:color="auto" w:fill="auto"/>
          </w:tcPr>
          <w:p w14:paraId="163030C6" w14:textId="34BA12B8" w:rsidR="00547365" w:rsidRPr="00547365" w:rsidRDefault="00003B2D" w:rsidP="00547365">
            <w:pPr>
              <w:jc w:val="center"/>
            </w:pPr>
            <w:r>
              <w:t>0.028235</w:t>
            </w:r>
          </w:p>
        </w:tc>
        <w:tc>
          <w:tcPr>
            <w:tcW w:w="1903" w:type="dxa"/>
            <w:shd w:val="clear" w:color="auto" w:fill="auto"/>
          </w:tcPr>
          <w:p w14:paraId="51CBE150" w14:textId="5C0E3C86" w:rsidR="00547365" w:rsidRPr="00547365" w:rsidRDefault="00003B2D" w:rsidP="00547365">
            <w:pPr>
              <w:jc w:val="center"/>
            </w:pPr>
            <w:r w:rsidRPr="00547365">
              <w:t>$</w:t>
            </w:r>
            <w:r>
              <w:t>1,002</w:t>
            </w:r>
          </w:p>
        </w:tc>
      </w:tr>
      <w:tr w:rsidR="00547365" w14:paraId="3B83CEED" w14:textId="77777777" w:rsidTr="00EE5622">
        <w:trPr>
          <w:trHeight w:val="251"/>
        </w:trPr>
        <w:tc>
          <w:tcPr>
            <w:tcW w:w="2820" w:type="dxa"/>
          </w:tcPr>
          <w:p w14:paraId="414F0966" w14:textId="77777777" w:rsidR="00547365" w:rsidRDefault="00547365" w:rsidP="00547365">
            <w:pPr>
              <w:pStyle w:val="TableParagraph"/>
              <w:jc w:val="left"/>
            </w:pPr>
            <w:r>
              <w:t>UV</w:t>
            </w:r>
            <w:r>
              <w:rPr>
                <w:spacing w:val="-2"/>
              </w:rPr>
              <w:t xml:space="preserve"> Commercial</w:t>
            </w:r>
          </w:p>
        </w:tc>
        <w:tc>
          <w:tcPr>
            <w:tcW w:w="2774" w:type="dxa"/>
            <w:shd w:val="clear" w:color="auto" w:fill="auto"/>
          </w:tcPr>
          <w:p w14:paraId="10286919" w14:textId="6093806F" w:rsidR="00547365" w:rsidRPr="00547365" w:rsidRDefault="00003B2D" w:rsidP="00547365">
            <w:pPr>
              <w:jc w:val="center"/>
            </w:pPr>
            <w:r>
              <w:t>0.018591</w:t>
            </w:r>
          </w:p>
        </w:tc>
        <w:tc>
          <w:tcPr>
            <w:tcW w:w="1903" w:type="dxa"/>
            <w:shd w:val="clear" w:color="auto" w:fill="auto"/>
          </w:tcPr>
          <w:p w14:paraId="79548BCA" w14:textId="67FE0550" w:rsidR="00547365" w:rsidRPr="00547365" w:rsidRDefault="00003B2D" w:rsidP="00547365">
            <w:pPr>
              <w:jc w:val="center"/>
            </w:pPr>
            <w:r w:rsidRPr="00547365">
              <w:t>$</w:t>
            </w:r>
            <w:r>
              <w:t>1,002</w:t>
            </w:r>
          </w:p>
        </w:tc>
      </w:tr>
      <w:tr w:rsidR="00547365" w14:paraId="3EC09049" w14:textId="77777777" w:rsidTr="00EE5622">
        <w:trPr>
          <w:trHeight w:val="254"/>
        </w:trPr>
        <w:tc>
          <w:tcPr>
            <w:tcW w:w="2820" w:type="dxa"/>
          </w:tcPr>
          <w:p w14:paraId="4AA62E64" w14:textId="347EE4B5" w:rsidR="00547365" w:rsidRDefault="00547365" w:rsidP="00003B2D">
            <w:pPr>
              <w:pStyle w:val="TableParagraph"/>
              <w:spacing w:line="234" w:lineRule="exact"/>
              <w:jc w:val="left"/>
            </w:pPr>
            <w:r>
              <w:t>UV</w:t>
            </w:r>
            <w:r>
              <w:rPr>
                <w:spacing w:val="-5"/>
              </w:rPr>
              <w:t xml:space="preserve"> </w:t>
            </w:r>
            <w:r w:rsidR="00003B2D">
              <w:t>Rural Residential</w:t>
            </w:r>
          </w:p>
        </w:tc>
        <w:tc>
          <w:tcPr>
            <w:tcW w:w="2774" w:type="dxa"/>
            <w:shd w:val="clear" w:color="auto" w:fill="auto"/>
          </w:tcPr>
          <w:p w14:paraId="644E996D" w14:textId="6007B96C" w:rsidR="00547365" w:rsidRPr="00547365" w:rsidRDefault="00003B2D" w:rsidP="00547365">
            <w:pPr>
              <w:jc w:val="center"/>
            </w:pPr>
            <w:r>
              <w:t>0.007612</w:t>
            </w:r>
          </w:p>
        </w:tc>
        <w:tc>
          <w:tcPr>
            <w:tcW w:w="1903" w:type="dxa"/>
            <w:shd w:val="clear" w:color="auto" w:fill="auto"/>
          </w:tcPr>
          <w:p w14:paraId="3660E867" w14:textId="10C27C12" w:rsidR="00547365" w:rsidRPr="00547365" w:rsidRDefault="00003B2D" w:rsidP="00547365">
            <w:pPr>
              <w:jc w:val="center"/>
            </w:pPr>
            <w:r w:rsidRPr="00547365">
              <w:t>$</w:t>
            </w:r>
            <w:r>
              <w:t>1,002</w:t>
            </w:r>
          </w:p>
        </w:tc>
      </w:tr>
    </w:tbl>
    <w:p w14:paraId="7C6C0454" w14:textId="77777777" w:rsidR="00697630" w:rsidRDefault="00697630">
      <w:pPr>
        <w:pStyle w:val="BodyText"/>
        <w:ind w:left="0"/>
        <w:rPr>
          <w:sz w:val="24"/>
        </w:rPr>
      </w:pPr>
    </w:p>
    <w:p w14:paraId="56EEF31D" w14:textId="77777777" w:rsidR="00697630" w:rsidRDefault="00697630">
      <w:pPr>
        <w:pStyle w:val="BodyText"/>
        <w:spacing w:before="6"/>
        <w:ind w:left="0"/>
        <w:rPr>
          <w:sz w:val="23"/>
        </w:rPr>
      </w:pPr>
    </w:p>
    <w:p w14:paraId="27F18F41" w14:textId="77777777" w:rsidR="00697630" w:rsidRPr="00B2387E" w:rsidRDefault="00B2387E">
      <w:pPr>
        <w:pStyle w:val="Heading1"/>
        <w:rPr>
          <w:color w:val="1F497D" w:themeColor="text2"/>
        </w:rPr>
      </w:pPr>
      <w:bookmarkStart w:id="2" w:name="Gross_Rental_Values_(GRV)"/>
      <w:bookmarkEnd w:id="2"/>
      <w:r w:rsidRPr="00B2387E">
        <w:rPr>
          <w:color w:val="1F497D" w:themeColor="text2"/>
        </w:rPr>
        <w:t>Gross</w:t>
      </w:r>
      <w:r w:rsidRPr="00B2387E">
        <w:rPr>
          <w:color w:val="1F497D" w:themeColor="text2"/>
          <w:spacing w:val="-3"/>
        </w:rPr>
        <w:t xml:space="preserve"> </w:t>
      </w:r>
      <w:r w:rsidRPr="00B2387E">
        <w:rPr>
          <w:color w:val="1F497D" w:themeColor="text2"/>
        </w:rPr>
        <w:t>Rental</w:t>
      </w:r>
      <w:r w:rsidRPr="00B2387E">
        <w:rPr>
          <w:color w:val="1F497D" w:themeColor="text2"/>
          <w:spacing w:val="-2"/>
        </w:rPr>
        <w:t xml:space="preserve"> </w:t>
      </w:r>
      <w:r w:rsidRPr="00B2387E">
        <w:rPr>
          <w:color w:val="1F497D" w:themeColor="text2"/>
        </w:rPr>
        <w:t>Values</w:t>
      </w:r>
      <w:r w:rsidRPr="00B2387E">
        <w:rPr>
          <w:color w:val="1F497D" w:themeColor="text2"/>
          <w:spacing w:val="-6"/>
        </w:rPr>
        <w:t xml:space="preserve"> </w:t>
      </w:r>
      <w:r w:rsidRPr="00B2387E">
        <w:rPr>
          <w:color w:val="1F497D" w:themeColor="text2"/>
          <w:spacing w:val="-4"/>
        </w:rPr>
        <w:t>(GRV)</w:t>
      </w:r>
    </w:p>
    <w:p w14:paraId="791183C8" w14:textId="3E13C51B" w:rsidR="00697630" w:rsidRDefault="00B2387E">
      <w:pPr>
        <w:pStyle w:val="BodyText"/>
        <w:spacing w:before="21"/>
        <w:ind w:right="115"/>
        <w:jc w:val="both"/>
      </w:pPr>
      <w:r>
        <w:t xml:space="preserve">The Local Government Act 1995 provides that properties of a Non-Rural purpose be rated using the Gross Rental Valuation (GRV) as the basis for the calculation of annual rates. The </w:t>
      </w:r>
      <w:proofErr w:type="spellStart"/>
      <w:r>
        <w:t>Valuer</w:t>
      </w:r>
      <w:proofErr w:type="spellEnd"/>
      <w:r>
        <w:rPr>
          <w:spacing w:val="-13"/>
        </w:rPr>
        <w:t xml:space="preserve"> </w:t>
      </w:r>
      <w:r>
        <w:t>General</w:t>
      </w:r>
      <w:r>
        <w:rPr>
          <w:spacing w:val="-15"/>
        </w:rPr>
        <w:t xml:space="preserve"> </w:t>
      </w:r>
      <w:r>
        <w:t>determines</w:t>
      </w:r>
      <w:r>
        <w:rPr>
          <w:spacing w:val="-14"/>
        </w:rPr>
        <w:t xml:space="preserve"> </w:t>
      </w:r>
      <w:r>
        <w:t>the</w:t>
      </w:r>
      <w:r>
        <w:rPr>
          <w:spacing w:val="-15"/>
        </w:rPr>
        <w:t xml:space="preserve"> </w:t>
      </w:r>
      <w:r>
        <w:t>GRV</w:t>
      </w:r>
      <w:r>
        <w:rPr>
          <w:spacing w:val="-16"/>
        </w:rPr>
        <w:t xml:space="preserve"> </w:t>
      </w:r>
      <w:r>
        <w:t>for</w:t>
      </w:r>
      <w:r>
        <w:rPr>
          <w:spacing w:val="-12"/>
        </w:rPr>
        <w:t xml:space="preserve"> </w:t>
      </w:r>
      <w:r>
        <w:t>all</w:t>
      </w:r>
      <w:r>
        <w:rPr>
          <w:spacing w:val="-13"/>
        </w:rPr>
        <w:t xml:space="preserve"> </w:t>
      </w:r>
      <w:r>
        <w:t>properties</w:t>
      </w:r>
      <w:r>
        <w:rPr>
          <w:spacing w:val="-12"/>
        </w:rPr>
        <w:t xml:space="preserve"> </w:t>
      </w:r>
      <w:r>
        <w:t>with</w:t>
      </w:r>
      <w:r>
        <w:rPr>
          <w:spacing w:val="-12"/>
        </w:rPr>
        <w:t xml:space="preserve"> </w:t>
      </w:r>
      <w:r>
        <w:t>a</w:t>
      </w:r>
      <w:r>
        <w:rPr>
          <w:spacing w:val="-12"/>
        </w:rPr>
        <w:t xml:space="preserve"> </w:t>
      </w:r>
      <w:r>
        <w:t>non-rural</w:t>
      </w:r>
      <w:r>
        <w:rPr>
          <w:spacing w:val="-13"/>
        </w:rPr>
        <w:t xml:space="preserve"> </w:t>
      </w:r>
      <w:r>
        <w:t>purpose</w:t>
      </w:r>
      <w:r>
        <w:rPr>
          <w:spacing w:val="-12"/>
        </w:rPr>
        <w:t xml:space="preserve"> </w:t>
      </w:r>
      <w:r>
        <w:t>within</w:t>
      </w:r>
      <w:r>
        <w:rPr>
          <w:spacing w:val="-12"/>
        </w:rPr>
        <w:t xml:space="preserve"> </w:t>
      </w:r>
      <w:r>
        <w:t>the</w:t>
      </w:r>
      <w:r>
        <w:rPr>
          <w:spacing w:val="-15"/>
        </w:rPr>
        <w:t xml:space="preserve"> </w:t>
      </w:r>
      <w:r>
        <w:t>Shire of</w:t>
      </w:r>
      <w:r>
        <w:rPr>
          <w:spacing w:val="-1"/>
        </w:rPr>
        <w:t xml:space="preserve"> </w:t>
      </w:r>
      <w:r>
        <w:t>Boddington</w:t>
      </w:r>
      <w:r>
        <w:rPr>
          <w:spacing w:val="-7"/>
        </w:rPr>
        <w:t xml:space="preserve"> </w:t>
      </w:r>
      <w:r>
        <w:t>approximately</w:t>
      </w:r>
      <w:r>
        <w:rPr>
          <w:spacing w:val="-7"/>
        </w:rPr>
        <w:t xml:space="preserve"> </w:t>
      </w:r>
      <w:r>
        <w:t>every</w:t>
      </w:r>
      <w:r>
        <w:rPr>
          <w:spacing w:val="-7"/>
        </w:rPr>
        <w:t xml:space="preserve"> </w:t>
      </w:r>
      <w:r w:rsidR="00003B2D">
        <w:t>six</w:t>
      </w:r>
      <w:r>
        <w:rPr>
          <w:spacing w:val="-4"/>
        </w:rPr>
        <w:t xml:space="preserve"> </w:t>
      </w:r>
      <w:r>
        <w:t>years</w:t>
      </w:r>
      <w:r>
        <w:rPr>
          <w:spacing w:val="-5"/>
        </w:rPr>
        <w:t xml:space="preserve"> </w:t>
      </w:r>
      <w:r>
        <w:t>and</w:t>
      </w:r>
      <w:r>
        <w:rPr>
          <w:spacing w:val="-10"/>
        </w:rPr>
        <w:t xml:space="preserve"> </w:t>
      </w:r>
      <w:r>
        <w:t>provides</w:t>
      </w:r>
      <w:r>
        <w:rPr>
          <w:spacing w:val="-5"/>
        </w:rPr>
        <w:t xml:space="preserve"> </w:t>
      </w:r>
      <w:r>
        <w:t>a</w:t>
      </w:r>
      <w:r>
        <w:rPr>
          <w:spacing w:val="-8"/>
        </w:rPr>
        <w:t xml:space="preserve"> </w:t>
      </w:r>
      <w:r>
        <w:t>GRV</w:t>
      </w:r>
      <w:r>
        <w:rPr>
          <w:spacing w:val="-5"/>
        </w:rPr>
        <w:t xml:space="preserve"> </w:t>
      </w:r>
      <w:r>
        <w:t>Roll.</w:t>
      </w:r>
      <w:r>
        <w:rPr>
          <w:spacing w:val="-6"/>
        </w:rPr>
        <w:t xml:space="preserve"> </w:t>
      </w:r>
      <w:r>
        <w:t>The</w:t>
      </w:r>
      <w:r>
        <w:rPr>
          <w:spacing w:val="-5"/>
        </w:rPr>
        <w:t xml:space="preserve"> </w:t>
      </w:r>
      <w:r>
        <w:t>current</w:t>
      </w:r>
      <w:r>
        <w:rPr>
          <w:spacing w:val="-6"/>
        </w:rPr>
        <w:t xml:space="preserve"> </w:t>
      </w:r>
      <w:r>
        <w:t>valuation is</w:t>
      </w:r>
      <w:r>
        <w:rPr>
          <w:spacing w:val="-11"/>
        </w:rPr>
        <w:t xml:space="preserve"> </w:t>
      </w:r>
      <w:r>
        <w:t>effective</w:t>
      </w:r>
      <w:r>
        <w:rPr>
          <w:spacing w:val="-11"/>
        </w:rPr>
        <w:t xml:space="preserve"> </w:t>
      </w:r>
      <w:r>
        <w:t>from</w:t>
      </w:r>
      <w:r>
        <w:rPr>
          <w:spacing w:val="-12"/>
        </w:rPr>
        <w:t xml:space="preserve"> </w:t>
      </w:r>
      <w:r>
        <w:t>1</w:t>
      </w:r>
      <w:r>
        <w:rPr>
          <w:spacing w:val="-11"/>
        </w:rPr>
        <w:t xml:space="preserve"> </w:t>
      </w:r>
      <w:r>
        <w:t>July</w:t>
      </w:r>
      <w:r>
        <w:rPr>
          <w:spacing w:val="-13"/>
        </w:rPr>
        <w:t xml:space="preserve"> </w:t>
      </w:r>
      <w:r>
        <w:t>2019.</w:t>
      </w:r>
      <w:r>
        <w:rPr>
          <w:spacing w:val="-10"/>
        </w:rPr>
        <w:t xml:space="preserve"> </w:t>
      </w:r>
      <w:r>
        <w:t>Interim</w:t>
      </w:r>
      <w:r>
        <w:rPr>
          <w:spacing w:val="-10"/>
        </w:rPr>
        <w:t xml:space="preserve"> </w:t>
      </w:r>
      <w:r>
        <w:t>valuations</w:t>
      </w:r>
      <w:r>
        <w:rPr>
          <w:spacing w:val="-11"/>
        </w:rPr>
        <w:t xml:space="preserve"> </w:t>
      </w:r>
      <w:r>
        <w:t>are</w:t>
      </w:r>
      <w:r>
        <w:rPr>
          <w:spacing w:val="-14"/>
        </w:rPr>
        <w:t xml:space="preserve"> </w:t>
      </w:r>
      <w:r>
        <w:t>provided</w:t>
      </w:r>
      <w:r>
        <w:rPr>
          <w:spacing w:val="-11"/>
        </w:rPr>
        <w:t xml:space="preserve"> </w:t>
      </w:r>
      <w:r>
        <w:t>regularly</w:t>
      </w:r>
      <w:r>
        <w:rPr>
          <w:spacing w:val="-13"/>
        </w:rPr>
        <w:t xml:space="preserve"> </w:t>
      </w:r>
      <w:r>
        <w:t>to</w:t>
      </w:r>
      <w:r>
        <w:rPr>
          <w:spacing w:val="-11"/>
        </w:rPr>
        <w:t xml:space="preserve"> </w:t>
      </w:r>
      <w:r>
        <w:t>Council</w:t>
      </w:r>
      <w:r>
        <w:rPr>
          <w:spacing w:val="-12"/>
        </w:rPr>
        <w:t xml:space="preserve"> </w:t>
      </w:r>
      <w:r>
        <w:t>by</w:t>
      </w:r>
      <w:r>
        <w:rPr>
          <w:spacing w:val="-13"/>
        </w:rPr>
        <w:t xml:space="preserve"> </w:t>
      </w:r>
      <w:r>
        <w:t>the</w:t>
      </w:r>
      <w:r>
        <w:rPr>
          <w:spacing w:val="-11"/>
        </w:rPr>
        <w:t xml:space="preserve"> </w:t>
      </w:r>
      <w:proofErr w:type="spellStart"/>
      <w:r>
        <w:t>Valuer</w:t>
      </w:r>
      <w:proofErr w:type="spellEnd"/>
      <w:r>
        <w:t xml:space="preserve"> General for properties where changes have occurred during the year (i.e. subdivisions or strata title of property, amalgamations, building constructions, demolition, additions and/or property rezoning). In such instances, the Shire recalculates the rates for the affected properties and issues interim rate notices.</w:t>
      </w:r>
    </w:p>
    <w:p w14:paraId="2FF98153" w14:textId="77777777" w:rsidR="00697630" w:rsidRDefault="00697630">
      <w:pPr>
        <w:pStyle w:val="BodyText"/>
        <w:spacing w:before="8"/>
        <w:ind w:left="0"/>
        <w:rPr>
          <w:sz w:val="21"/>
        </w:rPr>
      </w:pPr>
    </w:p>
    <w:p w14:paraId="11E315C3" w14:textId="77777777" w:rsidR="00697630" w:rsidRPr="00003B2D" w:rsidRDefault="00B2387E">
      <w:pPr>
        <w:pStyle w:val="Heading2"/>
        <w:jc w:val="both"/>
      </w:pPr>
      <w:r w:rsidRPr="00003B2D">
        <w:t>GRV – General Rate</w:t>
      </w:r>
    </w:p>
    <w:p w14:paraId="4FC68DB1" w14:textId="77777777" w:rsidR="00697630" w:rsidRDefault="00B2387E">
      <w:pPr>
        <w:pStyle w:val="BodyText"/>
        <w:spacing w:before="2"/>
        <w:ind w:right="115"/>
        <w:jc w:val="both"/>
      </w:pPr>
      <w:r>
        <w:t>All</w:t>
      </w:r>
      <w:r>
        <w:rPr>
          <w:spacing w:val="-16"/>
        </w:rPr>
        <w:t xml:space="preserve"> </w:t>
      </w:r>
      <w:r>
        <w:t>land</w:t>
      </w:r>
      <w:r>
        <w:rPr>
          <w:spacing w:val="-11"/>
        </w:rPr>
        <w:t xml:space="preserve"> </w:t>
      </w:r>
      <w:r>
        <w:t>within</w:t>
      </w:r>
      <w:r>
        <w:rPr>
          <w:spacing w:val="-14"/>
        </w:rPr>
        <w:t xml:space="preserve"> </w:t>
      </w:r>
      <w:r>
        <w:t>the</w:t>
      </w:r>
      <w:r>
        <w:rPr>
          <w:spacing w:val="-14"/>
        </w:rPr>
        <w:t xml:space="preserve"> </w:t>
      </w:r>
      <w:r>
        <w:t>Shire</w:t>
      </w:r>
      <w:r>
        <w:rPr>
          <w:spacing w:val="-14"/>
        </w:rPr>
        <w:t xml:space="preserve"> </w:t>
      </w:r>
      <w:r>
        <w:t>used</w:t>
      </w:r>
      <w:r>
        <w:rPr>
          <w:spacing w:val="-16"/>
        </w:rPr>
        <w:t xml:space="preserve"> </w:t>
      </w:r>
      <w:r>
        <w:t>for</w:t>
      </w:r>
      <w:r>
        <w:rPr>
          <w:spacing w:val="-14"/>
        </w:rPr>
        <w:t xml:space="preserve"> </w:t>
      </w:r>
      <w:r>
        <w:t>non-rural</w:t>
      </w:r>
      <w:r>
        <w:rPr>
          <w:spacing w:val="-14"/>
        </w:rPr>
        <w:t xml:space="preserve"> </w:t>
      </w:r>
      <w:r>
        <w:t>purposes</w:t>
      </w:r>
      <w:r>
        <w:rPr>
          <w:spacing w:val="-13"/>
        </w:rPr>
        <w:t xml:space="preserve"> </w:t>
      </w:r>
      <w:r>
        <w:t>(GRV)</w:t>
      </w:r>
      <w:r>
        <w:rPr>
          <w:spacing w:val="-12"/>
        </w:rPr>
        <w:t xml:space="preserve"> </w:t>
      </w:r>
      <w:r>
        <w:t>is</w:t>
      </w:r>
      <w:r>
        <w:rPr>
          <w:spacing w:val="-13"/>
        </w:rPr>
        <w:t xml:space="preserve"> </w:t>
      </w:r>
      <w:r>
        <w:t>rated</w:t>
      </w:r>
      <w:r>
        <w:rPr>
          <w:spacing w:val="-14"/>
        </w:rPr>
        <w:t xml:space="preserve"> </w:t>
      </w:r>
      <w:r>
        <w:t>using</w:t>
      </w:r>
      <w:r>
        <w:rPr>
          <w:spacing w:val="-11"/>
        </w:rPr>
        <w:t xml:space="preserve"> </w:t>
      </w:r>
      <w:r>
        <w:t>a</w:t>
      </w:r>
      <w:r>
        <w:rPr>
          <w:spacing w:val="-16"/>
        </w:rPr>
        <w:t xml:space="preserve"> </w:t>
      </w:r>
      <w:r>
        <w:t>uniform</w:t>
      </w:r>
      <w:r>
        <w:rPr>
          <w:spacing w:val="-14"/>
        </w:rPr>
        <w:t xml:space="preserve"> </w:t>
      </w:r>
      <w:r>
        <w:t>GRV</w:t>
      </w:r>
      <w:r>
        <w:rPr>
          <w:spacing w:val="-14"/>
        </w:rPr>
        <w:t xml:space="preserve"> </w:t>
      </w:r>
      <w:r>
        <w:t xml:space="preserve">Rate. The uniform rate is calculated and adopted after the consideration of many factors such as current economic conditions, increases to land valuations as assessed by the </w:t>
      </w:r>
      <w:proofErr w:type="spellStart"/>
      <w:r>
        <w:t>Valuer</w:t>
      </w:r>
      <w:proofErr w:type="spellEnd"/>
      <w:r>
        <w:t xml:space="preserve"> General's Office, the infrastructure and service improvement proposals contained in the Budget, as well as other factors. It is considered that for this financial year the valuations imposed</w:t>
      </w:r>
      <w:r>
        <w:rPr>
          <w:spacing w:val="-2"/>
        </w:rPr>
        <w:t xml:space="preserve"> </w:t>
      </w:r>
      <w:r>
        <w:t>by</w:t>
      </w:r>
      <w:r>
        <w:rPr>
          <w:spacing w:val="-4"/>
        </w:rPr>
        <w:t xml:space="preserve"> </w:t>
      </w:r>
      <w:r>
        <w:t>the</w:t>
      </w:r>
      <w:r>
        <w:rPr>
          <w:spacing w:val="-4"/>
        </w:rPr>
        <w:t xml:space="preserve"> </w:t>
      </w:r>
      <w:proofErr w:type="spellStart"/>
      <w:r>
        <w:t>Valuer</w:t>
      </w:r>
      <w:proofErr w:type="spellEnd"/>
      <w:r>
        <w:rPr>
          <w:spacing w:val="-3"/>
        </w:rPr>
        <w:t xml:space="preserve"> </w:t>
      </w:r>
      <w:r>
        <w:t>General</w:t>
      </w:r>
      <w:r>
        <w:rPr>
          <w:spacing w:val="-2"/>
        </w:rPr>
        <w:t xml:space="preserve"> </w:t>
      </w:r>
      <w:r>
        <w:t>provides</w:t>
      </w:r>
      <w:r>
        <w:rPr>
          <w:spacing w:val="-1"/>
        </w:rPr>
        <w:t xml:space="preserve"> </w:t>
      </w:r>
      <w:r>
        <w:t>the</w:t>
      </w:r>
      <w:r>
        <w:rPr>
          <w:spacing w:val="-4"/>
        </w:rPr>
        <w:t xml:space="preserve"> </w:t>
      </w:r>
      <w:r>
        <w:t>capacity</w:t>
      </w:r>
      <w:r>
        <w:rPr>
          <w:spacing w:val="-6"/>
        </w:rPr>
        <w:t xml:space="preserve"> </w:t>
      </w:r>
      <w:r>
        <w:t>for</w:t>
      </w:r>
      <w:r>
        <w:rPr>
          <w:spacing w:val="-3"/>
        </w:rPr>
        <w:t xml:space="preserve"> </w:t>
      </w:r>
      <w:r>
        <w:t>the</w:t>
      </w:r>
      <w:r>
        <w:rPr>
          <w:spacing w:val="-4"/>
        </w:rPr>
        <w:t xml:space="preserve"> </w:t>
      </w:r>
      <w:r>
        <w:t>additional</w:t>
      </w:r>
      <w:r>
        <w:rPr>
          <w:spacing w:val="-2"/>
        </w:rPr>
        <w:t xml:space="preserve"> </w:t>
      </w:r>
      <w:r>
        <w:t>rate</w:t>
      </w:r>
      <w:r>
        <w:rPr>
          <w:spacing w:val="-2"/>
        </w:rPr>
        <w:t xml:space="preserve"> </w:t>
      </w:r>
      <w:r>
        <w:t>contributions</w:t>
      </w:r>
      <w:r>
        <w:rPr>
          <w:spacing w:val="-4"/>
        </w:rPr>
        <w:t xml:space="preserve"> </w:t>
      </w:r>
      <w:r>
        <w:t>that may</w:t>
      </w:r>
      <w:r>
        <w:rPr>
          <w:spacing w:val="-6"/>
        </w:rPr>
        <w:t xml:space="preserve"> </w:t>
      </w:r>
      <w:r>
        <w:t>be</w:t>
      </w:r>
      <w:r>
        <w:rPr>
          <w:spacing w:val="-6"/>
        </w:rPr>
        <w:t xml:space="preserve"> </w:t>
      </w:r>
      <w:r>
        <w:t>required</w:t>
      </w:r>
      <w:r>
        <w:rPr>
          <w:spacing w:val="-9"/>
        </w:rPr>
        <w:t xml:space="preserve"> </w:t>
      </w:r>
      <w:r>
        <w:t>from</w:t>
      </w:r>
      <w:r>
        <w:rPr>
          <w:spacing w:val="-5"/>
        </w:rPr>
        <w:t xml:space="preserve"> </w:t>
      </w:r>
      <w:r>
        <w:t>different</w:t>
      </w:r>
      <w:r>
        <w:rPr>
          <w:spacing w:val="-5"/>
        </w:rPr>
        <w:t xml:space="preserve"> </w:t>
      </w:r>
      <w:r>
        <w:t>zoning/land</w:t>
      </w:r>
      <w:r>
        <w:rPr>
          <w:spacing w:val="-6"/>
        </w:rPr>
        <w:t xml:space="preserve"> </w:t>
      </w:r>
      <w:r>
        <w:t>use</w:t>
      </w:r>
      <w:r>
        <w:rPr>
          <w:spacing w:val="-6"/>
        </w:rPr>
        <w:t xml:space="preserve"> </w:t>
      </w:r>
      <w:r>
        <w:t>and</w:t>
      </w:r>
      <w:r>
        <w:rPr>
          <w:spacing w:val="-4"/>
        </w:rPr>
        <w:t xml:space="preserve"> </w:t>
      </w:r>
      <w:r>
        <w:t>therefore</w:t>
      </w:r>
      <w:r>
        <w:rPr>
          <w:spacing w:val="-6"/>
        </w:rPr>
        <w:t xml:space="preserve"> </w:t>
      </w:r>
      <w:r>
        <w:t>the</w:t>
      </w:r>
      <w:r>
        <w:rPr>
          <w:spacing w:val="-6"/>
        </w:rPr>
        <w:t xml:space="preserve"> </w:t>
      </w:r>
      <w:r>
        <w:t>need</w:t>
      </w:r>
      <w:r>
        <w:rPr>
          <w:spacing w:val="-9"/>
        </w:rPr>
        <w:t xml:space="preserve"> </w:t>
      </w:r>
      <w:r>
        <w:t>for</w:t>
      </w:r>
      <w:r>
        <w:rPr>
          <w:spacing w:val="-8"/>
        </w:rPr>
        <w:t xml:space="preserve"> </w:t>
      </w:r>
      <w:r>
        <w:t>a</w:t>
      </w:r>
      <w:r>
        <w:rPr>
          <w:spacing w:val="-4"/>
        </w:rPr>
        <w:t xml:space="preserve"> </w:t>
      </w:r>
      <w:r>
        <w:t>differential</w:t>
      </w:r>
      <w:r>
        <w:rPr>
          <w:spacing w:val="-5"/>
        </w:rPr>
        <w:t xml:space="preserve"> </w:t>
      </w:r>
      <w:r>
        <w:t>rate</w:t>
      </w:r>
      <w:r>
        <w:rPr>
          <w:spacing w:val="-6"/>
        </w:rPr>
        <w:t xml:space="preserve"> </w:t>
      </w:r>
      <w:r>
        <w:t>is not deemed necessary.</w:t>
      </w:r>
    </w:p>
    <w:p w14:paraId="0F368D74" w14:textId="77777777" w:rsidR="00697630" w:rsidRDefault="00697630">
      <w:pPr>
        <w:pStyle w:val="BodyText"/>
        <w:spacing w:before="8"/>
        <w:ind w:left="0"/>
        <w:rPr>
          <w:sz w:val="25"/>
        </w:rPr>
      </w:pPr>
    </w:p>
    <w:p w14:paraId="3ADD5FED" w14:textId="77777777" w:rsidR="00697630" w:rsidRPr="00B2387E" w:rsidRDefault="00B2387E" w:rsidP="00B2387E">
      <w:pPr>
        <w:pStyle w:val="Heading2"/>
        <w:jc w:val="both"/>
        <w:rPr>
          <w:color w:val="1F497D" w:themeColor="text2"/>
          <w:sz w:val="24"/>
          <w:szCs w:val="24"/>
        </w:rPr>
      </w:pPr>
      <w:bookmarkStart w:id="3" w:name="Unimproved_Values_(UV)"/>
      <w:bookmarkEnd w:id="3"/>
      <w:r w:rsidRPr="00B2387E">
        <w:rPr>
          <w:color w:val="1F497D" w:themeColor="text2"/>
          <w:sz w:val="24"/>
          <w:szCs w:val="24"/>
        </w:rPr>
        <w:t>Unimproved Values (UV)</w:t>
      </w:r>
    </w:p>
    <w:p w14:paraId="59B5D732" w14:textId="77777777" w:rsidR="00697630" w:rsidRDefault="00B2387E">
      <w:pPr>
        <w:pStyle w:val="BodyText"/>
        <w:spacing w:before="21"/>
        <w:ind w:right="117"/>
        <w:jc w:val="both"/>
      </w:pPr>
      <w:r>
        <w:t>The Local Government Act 1995, provides that properties predominantly used for a rural purpose</w:t>
      </w:r>
      <w:r>
        <w:rPr>
          <w:spacing w:val="-4"/>
        </w:rPr>
        <w:t xml:space="preserve"> </w:t>
      </w:r>
      <w:r>
        <w:t>are</w:t>
      </w:r>
      <w:r>
        <w:rPr>
          <w:spacing w:val="-4"/>
        </w:rPr>
        <w:t xml:space="preserve"> </w:t>
      </w:r>
      <w:r>
        <w:t>assigned</w:t>
      </w:r>
      <w:r>
        <w:rPr>
          <w:spacing w:val="-4"/>
        </w:rPr>
        <w:t xml:space="preserve"> </w:t>
      </w:r>
      <w:r>
        <w:t>an</w:t>
      </w:r>
      <w:r>
        <w:rPr>
          <w:spacing w:val="-4"/>
        </w:rPr>
        <w:t xml:space="preserve"> </w:t>
      </w:r>
      <w:r>
        <w:t>Unimproved</w:t>
      </w:r>
      <w:r>
        <w:rPr>
          <w:spacing w:val="-4"/>
        </w:rPr>
        <w:t xml:space="preserve"> </w:t>
      </w:r>
      <w:r>
        <w:t>Value</w:t>
      </w:r>
      <w:r>
        <w:rPr>
          <w:spacing w:val="-3"/>
        </w:rPr>
        <w:t xml:space="preserve"> </w:t>
      </w:r>
      <w:r>
        <w:t>as</w:t>
      </w:r>
      <w:r>
        <w:rPr>
          <w:spacing w:val="-4"/>
        </w:rPr>
        <w:t xml:space="preserve"> </w:t>
      </w:r>
      <w:r>
        <w:t>supplied</w:t>
      </w:r>
      <w:r>
        <w:rPr>
          <w:spacing w:val="-3"/>
        </w:rPr>
        <w:t xml:space="preserve"> </w:t>
      </w:r>
      <w:r>
        <w:t>and</w:t>
      </w:r>
      <w:r>
        <w:rPr>
          <w:spacing w:val="-4"/>
        </w:rPr>
        <w:t xml:space="preserve"> </w:t>
      </w:r>
      <w:r>
        <w:t>reviewed</w:t>
      </w:r>
      <w:r>
        <w:rPr>
          <w:spacing w:val="-3"/>
        </w:rPr>
        <w:t xml:space="preserve"> </w:t>
      </w:r>
      <w:r>
        <w:t>by</w:t>
      </w:r>
      <w:r>
        <w:rPr>
          <w:spacing w:val="-4"/>
        </w:rPr>
        <w:t xml:space="preserve"> </w:t>
      </w:r>
      <w:r>
        <w:t>the</w:t>
      </w:r>
      <w:r>
        <w:rPr>
          <w:spacing w:val="-3"/>
        </w:rPr>
        <w:t xml:space="preserve"> </w:t>
      </w:r>
      <w:proofErr w:type="spellStart"/>
      <w:r>
        <w:t>Valuer</w:t>
      </w:r>
      <w:proofErr w:type="spellEnd"/>
      <w:r>
        <w:rPr>
          <w:spacing w:val="-5"/>
        </w:rPr>
        <w:t xml:space="preserve"> </w:t>
      </w:r>
      <w:r>
        <w:t>General on</w:t>
      </w:r>
      <w:r>
        <w:rPr>
          <w:spacing w:val="-2"/>
        </w:rPr>
        <w:t xml:space="preserve"> </w:t>
      </w:r>
      <w:r>
        <w:t>an</w:t>
      </w:r>
      <w:r>
        <w:rPr>
          <w:spacing w:val="-2"/>
        </w:rPr>
        <w:t xml:space="preserve"> </w:t>
      </w:r>
      <w:r>
        <w:t>annual</w:t>
      </w:r>
      <w:r>
        <w:rPr>
          <w:spacing w:val="-2"/>
        </w:rPr>
        <w:t xml:space="preserve"> </w:t>
      </w:r>
      <w:r>
        <w:t>basis.</w:t>
      </w:r>
      <w:r>
        <w:rPr>
          <w:spacing w:val="-3"/>
        </w:rPr>
        <w:t xml:space="preserve"> </w:t>
      </w:r>
      <w:r>
        <w:t>The</w:t>
      </w:r>
      <w:r>
        <w:rPr>
          <w:spacing w:val="-6"/>
        </w:rPr>
        <w:t xml:space="preserve"> </w:t>
      </w:r>
      <w:r>
        <w:t>unimproved</w:t>
      </w:r>
      <w:r>
        <w:rPr>
          <w:spacing w:val="-2"/>
        </w:rPr>
        <w:t xml:space="preserve"> </w:t>
      </w:r>
      <w:r>
        <w:t>value</w:t>
      </w:r>
      <w:r>
        <w:rPr>
          <w:spacing w:val="-2"/>
        </w:rPr>
        <w:t xml:space="preserve"> </w:t>
      </w:r>
      <w:r>
        <w:t>of land</w:t>
      </w:r>
      <w:r>
        <w:rPr>
          <w:spacing w:val="-2"/>
        </w:rPr>
        <w:t xml:space="preserve"> </w:t>
      </w:r>
      <w:r>
        <w:t>refers</w:t>
      </w:r>
      <w:r>
        <w:rPr>
          <w:spacing w:val="-4"/>
        </w:rPr>
        <w:t xml:space="preserve"> </w:t>
      </w:r>
      <w:r>
        <w:t>to</w:t>
      </w:r>
      <w:r>
        <w:rPr>
          <w:spacing w:val="-4"/>
        </w:rPr>
        <w:t xml:space="preserve"> </w:t>
      </w:r>
      <w:r>
        <w:t>the</w:t>
      </w:r>
      <w:r>
        <w:rPr>
          <w:spacing w:val="-4"/>
        </w:rPr>
        <w:t xml:space="preserve"> </w:t>
      </w:r>
      <w:r>
        <w:t>market value</w:t>
      </w:r>
      <w:r>
        <w:rPr>
          <w:spacing w:val="-2"/>
        </w:rPr>
        <w:t xml:space="preserve"> </w:t>
      </w:r>
      <w:r>
        <w:t>of the</w:t>
      </w:r>
      <w:r>
        <w:rPr>
          <w:spacing w:val="-4"/>
        </w:rPr>
        <w:t xml:space="preserve"> </w:t>
      </w:r>
      <w:r>
        <w:t>land</w:t>
      </w:r>
      <w:r>
        <w:rPr>
          <w:spacing w:val="-2"/>
        </w:rPr>
        <w:t xml:space="preserve"> </w:t>
      </w:r>
      <w:r>
        <w:t>in</w:t>
      </w:r>
      <w:r>
        <w:rPr>
          <w:spacing w:val="-2"/>
        </w:rPr>
        <w:t xml:space="preserve"> </w:t>
      </w:r>
      <w:r>
        <w:t>its natural state without improvements such as buildings, fences, dams etc.</w:t>
      </w:r>
    </w:p>
    <w:p w14:paraId="300D79AC" w14:textId="77777777" w:rsidR="00697630" w:rsidRDefault="00697630">
      <w:pPr>
        <w:jc w:val="both"/>
        <w:sectPr w:rsidR="00697630">
          <w:type w:val="continuous"/>
          <w:pgSz w:w="11910" w:h="16840"/>
          <w:pgMar w:top="1280" w:right="1320" w:bottom="280" w:left="1320" w:header="720" w:footer="720" w:gutter="0"/>
          <w:cols w:space="720"/>
        </w:sectPr>
      </w:pPr>
    </w:p>
    <w:p w14:paraId="10019387" w14:textId="77777777" w:rsidR="00697630" w:rsidRDefault="00B2387E" w:rsidP="00B2387E">
      <w:pPr>
        <w:pStyle w:val="BodyText"/>
        <w:spacing w:before="74"/>
        <w:ind w:right="115"/>
        <w:jc w:val="both"/>
      </w:pPr>
      <w:r>
        <w:lastRenderedPageBreak/>
        <w:t>The</w:t>
      </w:r>
      <w:r>
        <w:rPr>
          <w:spacing w:val="-9"/>
        </w:rPr>
        <w:t xml:space="preserve"> </w:t>
      </w:r>
      <w:r>
        <w:t>rate</w:t>
      </w:r>
      <w:r>
        <w:rPr>
          <w:spacing w:val="-6"/>
        </w:rPr>
        <w:t xml:space="preserve"> </w:t>
      </w:r>
      <w:r>
        <w:t>in</w:t>
      </w:r>
      <w:r>
        <w:rPr>
          <w:spacing w:val="-9"/>
        </w:rPr>
        <w:t xml:space="preserve"> </w:t>
      </w:r>
      <w:r>
        <w:t>the</w:t>
      </w:r>
      <w:r>
        <w:rPr>
          <w:spacing w:val="-9"/>
        </w:rPr>
        <w:t xml:space="preserve"> </w:t>
      </w:r>
      <w:r>
        <w:t>dollar</w:t>
      </w:r>
      <w:r>
        <w:rPr>
          <w:spacing w:val="-5"/>
        </w:rPr>
        <w:t xml:space="preserve"> </w:t>
      </w:r>
      <w:r>
        <w:t>set</w:t>
      </w:r>
      <w:r>
        <w:rPr>
          <w:spacing w:val="-7"/>
        </w:rPr>
        <w:t xml:space="preserve"> </w:t>
      </w:r>
      <w:r>
        <w:t>for</w:t>
      </w:r>
      <w:r>
        <w:rPr>
          <w:spacing w:val="-8"/>
        </w:rPr>
        <w:t xml:space="preserve"> </w:t>
      </w:r>
      <w:r>
        <w:t>the</w:t>
      </w:r>
      <w:r>
        <w:rPr>
          <w:spacing w:val="-9"/>
        </w:rPr>
        <w:t xml:space="preserve"> </w:t>
      </w:r>
      <w:r>
        <w:t>UV-Rural</w:t>
      </w:r>
      <w:r>
        <w:rPr>
          <w:spacing w:val="-9"/>
        </w:rPr>
        <w:t xml:space="preserve"> </w:t>
      </w:r>
      <w:r>
        <w:t>category</w:t>
      </w:r>
      <w:r>
        <w:rPr>
          <w:spacing w:val="-8"/>
        </w:rPr>
        <w:t xml:space="preserve"> </w:t>
      </w:r>
      <w:r>
        <w:t>forms</w:t>
      </w:r>
      <w:r>
        <w:rPr>
          <w:spacing w:val="-8"/>
        </w:rPr>
        <w:t xml:space="preserve"> </w:t>
      </w:r>
      <w:r>
        <w:t>the</w:t>
      </w:r>
      <w:r>
        <w:rPr>
          <w:spacing w:val="-6"/>
        </w:rPr>
        <w:t xml:space="preserve"> </w:t>
      </w:r>
      <w:r>
        <w:t>basis</w:t>
      </w:r>
      <w:r>
        <w:rPr>
          <w:spacing w:val="-10"/>
        </w:rPr>
        <w:t xml:space="preserve"> </w:t>
      </w:r>
      <w:r>
        <w:t>for</w:t>
      </w:r>
      <w:r>
        <w:rPr>
          <w:spacing w:val="-8"/>
        </w:rPr>
        <w:t xml:space="preserve"> </w:t>
      </w:r>
      <w:r>
        <w:t>calculating</w:t>
      </w:r>
      <w:r>
        <w:rPr>
          <w:spacing w:val="-4"/>
        </w:rPr>
        <w:t xml:space="preserve"> </w:t>
      </w:r>
      <w:r>
        <w:t>all</w:t>
      </w:r>
      <w:r>
        <w:rPr>
          <w:spacing w:val="-7"/>
        </w:rPr>
        <w:t xml:space="preserve"> </w:t>
      </w:r>
      <w:r>
        <w:t>other</w:t>
      </w:r>
      <w:r>
        <w:rPr>
          <w:spacing w:val="-8"/>
        </w:rPr>
        <w:t xml:space="preserve"> </w:t>
      </w:r>
      <w:r>
        <w:t xml:space="preserve">UV differential rates. Interim valuations are provided regularly to Council by the </w:t>
      </w:r>
      <w:proofErr w:type="spellStart"/>
      <w:r>
        <w:t>Valuer</w:t>
      </w:r>
      <w:proofErr w:type="spellEnd"/>
      <w:r>
        <w:t xml:space="preserve"> General for properties where changes have occurred during the year (i.e. subdivisions of property, amalgamations, and/or property rezoning). In such instances Council recalculates the rates for the affected properties and issues interim rate notices.</w:t>
      </w:r>
    </w:p>
    <w:p w14:paraId="278565EE" w14:textId="77777777" w:rsidR="00697630" w:rsidRDefault="00697630" w:rsidP="00B2387E">
      <w:pPr>
        <w:pStyle w:val="BodyText"/>
        <w:spacing w:before="8"/>
        <w:ind w:left="0"/>
        <w:jc w:val="both"/>
        <w:rPr>
          <w:sz w:val="21"/>
        </w:rPr>
      </w:pPr>
    </w:p>
    <w:p w14:paraId="43A424AA" w14:textId="77777777" w:rsidR="00697630" w:rsidRDefault="00B2387E" w:rsidP="00B2387E">
      <w:pPr>
        <w:pStyle w:val="Heading2"/>
        <w:jc w:val="both"/>
      </w:pPr>
      <w:r>
        <w:t>UV</w:t>
      </w:r>
      <w:r>
        <w:rPr>
          <w:spacing w:val="-1"/>
        </w:rPr>
        <w:t xml:space="preserve"> </w:t>
      </w:r>
      <w:r>
        <w:t>-</w:t>
      </w:r>
      <w:r>
        <w:rPr>
          <w:spacing w:val="-2"/>
        </w:rPr>
        <w:t xml:space="preserve"> General</w:t>
      </w:r>
    </w:p>
    <w:p w14:paraId="0B1F795C" w14:textId="77777777" w:rsidR="00697630" w:rsidRDefault="00B2387E" w:rsidP="00B2387E">
      <w:pPr>
        <w:pStyle w:val="BodyText"/>
        <w:spacing w:before="4" w:line="252" w:lineRule="exact"/>
        <w:jc w:val="both"/>
      </w:pPr>
      <w:r>
        <w:rPr>
          <w:spacing w:val="-2"/>
        </w:rPr>
        <w:t>Characteristics</w:t>
      </w:r>
    </w:p>
    <w:p w14:paraId="517F6B9A" w14:textId="77777777" w:rsidR="00697630" w:rsidRDefault="00B2387E" w:rsidP="00B2387E">
      <w:pPr>
        <w:pStyle w:val="BodyText"/>
        <w:spacing w:line="252" w:lineRule="exact"/>
        <w:jc w:val="both"/>
      </w:pPr>
      <w:r>
        <w:t>This</w:t>
      </w:r>
      <w:r>
        <w:rPr>
          <w:spacing w:val="-9"/>
        </w:rPr>
        <w:t xml:space="preserve"> </w:t>
      </w:r>
      <w:r>
        <w:t>rating</w:t>
      </w:r>
      <w:r>
        <w:rPr>
          <w:spacing w:val="-4"/>
        </w:rPr>
        <w:t xml:space="preserve"> </w:t>
      </w:r>
      <w:r>
        <w:t>category</w:t>
      </w:r>
      <w:r>
        <w:rPr>
          <w:spacing w:val="-7"/>
        </w:rPr>
        <w:t xml:space="preserve"> </w:t>
      </w:r>
      <w:r>
        <w:t>covers</w:t>
      </w:r>
      <w:r>
        <w:rPr>
          <w:spacing w:val="-4"/>
        </w:rPr>
        <w:t xml:space="preserve"> </w:t>
      </w:r>
      <w:r>
        <w:t>properties</w:t>
      </w:r>
      <w:r>
        <w:rPr>
          <w:spacing w:val="-4"/>
        </w:rPr>
        <w:t xml:space="preserve"> </w:t>
      </w:r>
      <w:r>
        <w:t>with</w:t>
      </w:r>
      <w:r>
        <w:rPr>
          <w:spacing w:val="-5"/>
        </w:rPr>
        <w:t xml:space="preserve"> </w:t>
      </w:r>
      <w:r>
        <w:t>a</w:t>
      </w:r>
      <w:r>
        <w:rPr>
          <w:spacing w:val="-4"/>
        </w:rPr>
        <w:t xml:space="preserve"> </w:t>
      </w:r>
      <w:r>
        <w:t>UV</w:t>
      </w:r>
      <w:r>
        <w:rPr>
          <w:spacing w:val="-7"/>
        </w:rPr>
        <w:t xml:space="preserve"> </w:t>
      </w:r>
      <w:r>
        <w:t>valuation</w:t>
      </w:r>
      <w:r>
        <w:rPr>
          <w:spacing w:val="-5"/>
        </w:rPr>
        <w:t xml:space="preserve"> </w:t>
      </w:r>
      <w:r>
        <w:t>and</w:t>
      </w:r>
      <w:r>
        <w:rPr>
          <w:spacing w:val="-5"/>
        </w:rPr>
        <w:t xml:space="preserve"> </w:t>
      </w:r>
      <w:r>
        <w:t>predominant</w:t>
      </w:r>
      <w:r>
        <w:rPr>
          <w:spacing w:val="-4"/>
        </w:rPr>
        <w:t xml:space="preserve"> </w:t>
      </w:r>
      <w:r>
        <w:t>rural</w:t>
      </w:r>
      <w:r>
        <w:rPr>
          <w:spacing w:val="-5"/>
        </w:rPr>
        <w:t xml:space="preserve"> </w:t>
      </w:r>
      <w:r>
        <w:t>land</w:t>
      </w:r>
      <w:r>
        <w:rPr>
          <w:spacing w:val="-4"/>
        </w:rPr>
        <w:t xml:space="preserve"> use.</w:t>
      </w:r>
    </w:p>
    <w:p w14:paraId="204FE118" w14:textId="77777777" w:rsidR="00697630" w:rsidRDefault="00697630" w:rsidP="00B2387E">
      <w:pPr>
        <w:pStyle w:val="BodyText"/>
        <w:ind w:left="0"/>
        <w:jc w:val="both"/>
      </w:pPr>
    </w:p>
    <w:p w14:paraId="337B09A5" w14:textId="77777777" w:rsidR="00697630" w:rsidRDefault="00B2387E" w:rsidP="00B2387E">
      <w:pPr>
        <w:pStyle w:val="BodyText"/>
        <w:spacing w:line="252" w:lineRule="exact"/>
        <w:jc w:val="both"/>
      </w:pPr>
      <w:r>
        <w:rPr>
          <w:spacing w:val="-2"/>
        </w:rPr>
        <w:t>Objects</w:t>
      </w:r>
    </w:p>
    <w:p w14:paraId="122DD410" w14:textId="77777777" w:rsidR="00697630" w:rsidRDefault="00B2387E" w:rsidP="00B2387E">
      <w:pPr>
        <w:pStyle w:val="BodyText"/>
        <w:spacing w:line="252" w:lineRule="exact"/>
        <w:jc w:val="both"/>
      </w:pPr>
      <w:r>
        <w:t>To</w:t>
      </w:r>
      <w:r>
        <w:rPr>
          <w:spacing w:val="-6"/>
        </w:rPr>
        <w:t xml:space="preserve"> </w:t>
      </w:r>
      <w:r>
        <w:t>provide</w:t>
      </w:r>
      <w:r>
        <w:rPr>
          <w:spacing w:val="-3"/>
        </w:rPr>
        <w:t xml:space="preserve"> </w:t>
      </w:r>
      <w:r>
        <w:t>a</w:t>
      </w:r>
      <w:r>
        <w:rPr>
          <w:spacing w:val="-3"/>
        </w:rPr>
        <w:t xml:space="preserve"> </w:t>
      </w:r>
      <w:r>
        <w:t>base</w:t>
      </w:r>
      <w:r>
        <w:rPr>
          <w:spacing w:val="-5"/>
        </w:rPr>
        <w:t xml:space="preserve"> </w:t>
      </w:r>
      <w:r>
        <w:t>level</w:t>
      </w:r>
      <w:r>
        <w:rPr>
          <w:spacing w:val="-3"/>
        </w:rPr>
        <w:t xml:space="preserve"> </w:t>
      </w:r>
      <w:r>
        <w:t>of</w:t>
      </w:r>
      <w:r>
        <w:rPr>
          <w:spacing w:val="-1"/>
        </w:rPr>
        <w:t xml:space="preserve"> </w:t>
      </w:r>
      <w:r>
        <w:t>rating</w:t>
      </w:r>
      <w:r>
        <w:rPr>
          <w:spacing w:val="-3"/>
        </w:rPr>
        <w:t xml:space="preserve"> </w:t>
      </w:r>
      <w:r>
        <w:t>for</w:t>
      </w:r>
      <w:r>
        <w:rPr>
          <w:spacing w:val="-4"/>
        </w:rPr>
        <w:t xml:space="preserve"> </w:t>
      </w:r>
      <w:r>
        <w:t>UV</w:t>
      </w:r>
      <w:r>
        <w:rPr>
          <w:spacing w:val="-3"/>
        </w:rPr>
        <w:t xml:space="preserve"> </w:t>
      </w:r>
      <w:r>
        <w:rPr>
          <w:spacing w:val="-2"/>
        </w:rPr>
        <w:t>properties.</w:t>
      </w:r>
    </w:p>
    <w:p w14:paraId="032D2A7B" w14:textId="77777777" w:rsidR="00697630" w:rsidRDefault="00697630" w:rsidP="00B2387E">
      <w:pPr>
        <w:pStyle w:val="BodyText"/>
        <w:ind w:left="0"/>
        <w:jc w:val="both"/>
      </w:pPr>
    </w:p>
    <w:p w14:paraId="76C35ACA" w14:textId="77777777" w:rsidR="00697630" w:rsidRDefault="00B2387E" w:rsidP="00B2387E">
      <w:pPr>
        <w:pStyle w:val="BodyText"/>
        <w:jc w:val="both"/>
      </w:pPr>
      <w:r>
        <w:rPr>
          <w:spacing w:val="-2"/>
        </w:rPr>
        <w:t>Reasons</w:t>
      </w:r>
    </w:p>
    <w:p w14:paraId="3F7EFABC" w14:textId="77777777" w:rsidR="00697630" w:rsidRDefault="00B2387E" w:rsidP="00B2387E">
      <w:pPr>
        <w:pStyle w:val="BodyText"/>
        <w:spacing w:before="2"/>
        <w:jc w:val="both"/>
      </w:pPr>
      <w:r>
        <w:t>This</w:t>
      </w:r>
      <w:r>
        <w:rPr>
          <w:spacing w:val="-4"/>
        </w:rPr>
        <w:t xml:space="preserve"> </w:t>
      </w:r>
      <w:r>
        <w:t>rate</w:t>
      </w:r>
      <w:r>
        <w:rPr>
          <w:spacing w:val="-4"/>
        </w:rPr>
        <w:t xml:space="preserve"> </w:t>
      </w:r>
      <w:r>
        <w:t>reflects</w:t>
      </w:r>
      <w:r>
        <w:rPr>
          <w:spacing w:val="-4"/>
        </w:rPr>
        <w:t xml:space="preserve"> </w:t>
      </w:r>
      <w:r>
        <w:t>the</w:t>
      </w:r>
      <w:r>
        <w:rPr>
          <w:spacing w:val="-2"/>
        </w:rPr>
        <w:t xml:space="preserve"> </w:t>
      </w:r>
      <w:r>
        <w:t>level</w:t>
      </w:r>
      <w:r>
        <w:rPr>
          <w:spacing w:val="-2"/>
        </w:rPr>
        <w:t xml:space="preserve"> </w:t>
      </w:r>
      <w:r>
        <w:t>of rating</w:t>
      </w:r>
      <w:r>
        <w:rPr>
          <w:spacing w:val="-2"/>
        </w:rPr>
        <w:t xml:space="preserve"> </w:t>
      </w:r>
      <w:r>
        <w:t>required</w:t>
      </w:r>
      <w:r>
        <w:rPr>
          <w:spacing w:val="-4"/>
        </w:rPr>
        <w:t xml:space="preserve"> </w:t>
      </w:r>
      <w:r>
        <w:t>to</w:t>
      </w:r>
      <w:r>
        <w:rPr>
          <w:spacing w:val="-4"/>
        </w:rPr>
        <w:t xml:space="preserve"> </w:t>
      </w:r>
      <w:r>
        <w:t>raise</w:t>
      </w:r>
      <w:r>
        <w:rPr>
          <w:spacing w:val="-2"/>
        </w:rPr>
        <w:t xml:space="preserve"> </w:t>
      </w:r>
      <w:r>
        <w:t>the</w:t>
      </w:r>
      <w:r>
        <w:rPr>
          <w:spacing w:val="-4"/>
        </w:rPr>
        <w:t xml:space="preserve"> </w:t>
      </w:r>
      <w:r>
        <w:t>necessary</w:t>
      </w:r>
      <w:r>
        <w:rPr>
          <w:spacing w:val="-4"/>
        </w:rPr>
        <w:t xml:space="preserve"> </w:t>
      </w:r>
      <w:r>
        <w:t>revenue</w:t>
      </w:r>
      <w:r>
        <w:rPr>
          <w:spacing w:val="-2"/>
        </w:rPr>
        <w:t xml:space="preserve"> </w:t>
      </w:r>
      <w:r>
        <w:t>to</w:t>
      </w:r>
      <w:r>
        <w:rPr>
          <w:spacing w:val="-4"/>
        </w:rPr>
        <w:t xml:space="preserve"> </w:t>
      </w:r>
      <w:r>
        <w:t>operate efficiently and provide local government services and infrastructure.</w:t>
      </w:r>
    </w:p>
    <w:p w14:paraId="0565D8BD" w14:textId="77777777" w:rsidR="00697630" w:rsidRDefault="00697630" w:rsidP="00B2387E">
      <w:pPr>
        <w:pStyle w:val="BodyText"/>
        <w:spacing w:before="8"/>
        <w:ind w:left="0"/>
        <w:jc w:val="both"/>
        <w:rPr>
          <w:sz w:val="21"/>
        </w:rPr>
      </w:pPr>
    </w:p>
    <w:p w14:paraId="2F38875A" w14:textId="77777777" w:rsidR="00697630" w:rsidRDefault="00B2387E" w:rsidP="00B2387E">
      <w:pPr>
        <w:pStyle w:val="Heading2"/>
        <w:jc w:val="both"/>
      </w:pPr>
      <w:r>
        <w:t>UV</w:t>
      </w:r>
      <w:r>
        <w:rPr>
          <w:spacing w:val="-3"/>
        </w:rPr>
        <w:t xml:space="preserve"> </w:t>
      </w:r>
      <w:r>
        <w:t>-</w:t>
      </w:r>
      <w:r>
        <w:rPr>
          <w:spacing w:val="-2"/>
        </w:rPr>
        <w:t xml:space="preserve"> Mining</w:t>
      </w:r>
    </w:p>
    <w:p w14:paraId="26AD667B" w14:textId="77777777" w:rsidR="00697630" w:rsidRDefault="00B2387E" w:rsidP="00B2387E">
      <w:pPr>
        <w:pStyle w:val="BodyText"/>
        <w:spacing w:before="1"/>
        <w:jc w:val="both"/>
      </w:pPr>
      <w:r>
        <w:rPr>
          <w:spacing w:val="-2"/>
        </w:rPr>
        <w:t>Characteristics</w:t>
      </w:r>
    </w:p>
    <w:p w14:paraId="65414DE7" w14:textId="77777777" w:rsidR="00697630" w:rsidRDefault="00B2387E" w:rsidP="00B2387E">
      <w:pPr>
        <w:pStyle w:val="BodyText"/>
        <w:spacing w:before="2"/>
        <w:ind w:right="118"/>
        <w:jc w:val="both"/>
      </w:pPr>
      <w:r>
        <w:t xml:space="preserve">This rating category covers all Mining Leases, Exploration Licenses, Prospecting </w:t>
      </w:r>
      <w:proofErr w:type="spellStart"/>
      <w:r>
        <w:t>Licences</w:t>
      </w:r>
      <w:proofErr w:type="spellEnd"/>
      <w:r>
        <w:t xml:space="preserve">, Retention Licenses, General Purpose Leases, Special Prospecting </w:t>
      </w:r>
      <w:proofErr w:type="spellStart"/>
      <w:r>
        <w:t>Licences</w:t>
      </w:r>
      <w:proofErr w:type="spellEnd"/>
      <w:r>
        <w:t xml:space="preserve"> for Gold and Miscellaneous Licenses</w:t>
      </w:r>
      <w:r>
        <w:rPr>
          <w:spacing w:val="-2"/>
        </w:rPr>
        <w:t xml:space="preserve"> </w:t>
      </w:r>
      <w:r>
        <w:t>as defined</w:t>
      </w:r>
      <w:r>
        <w:rPr>
          <w:spacing w:val="-3"/>
        </w:rPr>
        <w:t xml:space="preserve"> </w:t>
      </w:r>
      <w:r>
        <w:t>under</w:t>
      </w:r>
      <w:r>
        <w:rPr>
          <w:spacing w:val="-4"/>
        </w:rPr>
        <w:t xml:space="preserve"> </w:t>
      </w:r>
      <w:r>
        <w:t>the</w:t>
      </w:r>
      <w:r>
        <w:rPr>
          <w:spacing w:val="-3"/>
        </w:rPr>
        <w:t xml:space="preserve"> </w:t>
      </w:r>
      <w:r>
        <w:t>Mining Act</w:t>
      </w:r>
      <w:r>
        <w:rPr>
          <w:spacing w:val="-1"/>
        </w:rPr>
        <w:t xml:space="preserve"> </w:t>
      </w:r>
      <w:r>
        <w:t>with a UV</w:t>
      </w:r>
      <w:r>
        <w:rPr>
          <w:spacing w:val="-3"/>
        </w:rPr>
        <w:t xml:space="preserve"> </w:t>
      </w:r>
      <w:r>
        <w:t>valuation.</w:t>
      </w:r>
      <w:r>
        <w:rPr>
          <w:spacing w:val="-1"/>
        </w:rPr>
        <w:t xml:space="preserve"> </w:t>
      </w:r>
      <w:r>
        <w:t>It</w:t>
      </w:r>
      <w:r>
        <w:rPr>
          <w:spacing w:val="-1"/>
        </w:rPr>
        <w:t xml:space="preserve"> </w:t>
      </w:r>
      <w:r>
        <w:t>also</w:t>
      </w:r>
      <w:r>
        <w:rPr>
          <w:spacing w:val="-3"/>
        </w:rPr>
        <w:t xml:space="preserve"> </w:t>
      </w:r>
      <w:r>
        <w:t>includes properties with a UV valuation that are held for mining purposes.</w:t>
      </w:r>
    </w:p>
    <w:p w14:paraId="1556933A" w14:textId="77777777" w:rsidR="00697630" w:rsidRDefault="00697630" w:rsidP="00B2387E">
      <w:pPr>
        <w:pStyle w:val="BodyText"/>
        <w:spacing w:before="11"/>
        <w:ind w:left="0"/>
        <w:jc w:val="both"/>
        <w:rPr>
          <w:sz w:val="21"/>
        </w:rPr>
      </w:pPr>
    </w:p>
    <w:p w14:paraId="355AD8A9" w14:textId="77777777" w:rsidR="00697630" w:rsidRDefault="00B2387E" w:rsidP="00B2387E">
      <w:pPr>
        <w:pStyle w:val="BodyText"/>
        <w:spacing w:line="252" w:lineRule="exact"/>
        <w:jc w:val="both"/>
      </w:pPr>
      <w:r>
        <w:rPr>
          <w:spacing w:val="-2"/>
        </w:rPr>
        <w:t>Objects</w:t>
      </w:r>
    </w:p>
    <w:p w14:paraId="793694E5" w14:textId="77777777" w:rsidR="00697630" w:rsidRDefault="00B2387E" w:rsidP="00B2387E">
      <w:pPr>
        <w:pStyle w:val="BodyText"/>
        <w:spacing w:line="252" w:lineRule="exact"/>
        <w:jc w:val="both"/>
      </w:pPr>
      <w:r>
        <w:t>To</w:t>
      </w:r>
      <w:r>
        <w:rPr>
          <w:spacing w:val="-8"/>
        </w:rPr>
        <w:t xml:space="preserve"> </w:t>
      </w:r>
      <w:r>
        <w:t>raise</w:t>
      </w:r>
      <w:r>
        <w:rPr>
          <w:spacing w:val="-3"/>
        </w:rPr>
        <w:t xml:space="preserve"> </w:t>
      </w:r>
      <w:r>
        <w:t>additional</w:t>
      </w:r>
      <w:r>
        <w:rPr>
          <w:spacing w:val="-3"/>
        </w:rPr>
        <w:t xml:space="preserve"> </w:t>
      </w:r>
      <w:r>
        <w:t>revenue</w:t>
      </w:r>
      <w:r>
        <w:rPr>
          <w:spacing w:val="-3"/>
        </w:rPr>
        <w:t xml:space="preserve"> </w:t>
      </w:r>
      <w:r>
        <w:t>to</w:t>
      </w:r>
      <w:r>
        <w:rPr>
          <w:spacing w:val="-7"/>
        </w:rPr>
        <w:t xml:space="preserve"> </w:t>
      </w:r>
      <w:r>
        <w:t>fund</w:t>
      </w:r>
      <w:r>
        <w:rPr>
          <w:spacing w:val="-5"/>
        </w:rPr>
        <w:t xml:space="preserve"> </w:t>
      </w:r>
      <w:r>
        <w:t>cost</w:t>
      </w:r>
      <w:r>
        <w:rPr>
          <w:spacing w:val="-2"/>
        </w:rPr>
        <w:t xml:space="preserve"> </w:t>
      </w:r>
      <w:r>
        <w:t>impacts</w:t>
      </w:r>
      <w:r>
        <w:rPr>
          <w:spacing w:val="-5"/>
        </w:rPr>
        <w:t xml:space="preserve"> </w:t>
      </w:r>
      <w:r>
        <w:t>to</w:t>
      </w:r>
      <w:r>
        <w:rPr>
          <w:spacing w:val="-3"/>
        </w:rPr>
        <w:t xml:space="preserve"> </w:t>
      </w:r>
      <w:r>
        <w:t>the</w:t>
      </w:r>
      <w:r>
        <w:rPr>
          <w:spacing w:val="-5"/>
        </w:rPr>
        <w:t xml:space="preserve"> </w:t>
      </w:r>
      <w:r>
        <w:t>Shire</w:t>
      </w:r>
      <w:r>
        <w:rPr>
          <w:spacing w:val="-5"/>
        </w:rPr>
        <w:t xml:space="preserve"> </w:t>
      </w:r>
      <w:r>
        <w:t>from</w:t>
      </w:r>
      <w:r>
        <w:rPr>
          <w:spacing w:val="-4"/>
        </w:rPr>
        <w:t xml:space="preserve"> </w:t>
      </w:r>
      <w:r>
        <w:t>mining</w:t>
      </w:r>
      <w:r>
        <w:rPr>
          <w:spacing w:val="-5"/>
        </w:rPr>
        <w:t xml:space="preserve"> </w:t>
      </w:r>
      <w:r>
        <w:rPr>
          <w:spacing w:val="-2"/>
        </w:rPr>
        <w:t>activities.</w:t>
      </w:r>
    </w:p>
    <w:p w14:paraId="3DFB1CAA" w14:textId="77777777" w:rsidR="00697630" w:rsidRDefault="00697630" w:rsidP="00B2387E">
      <w:pPr>
        <w:pStyle w:val="BodyText"/>
        <w:ind w:left="0"/>
        <w:jc w:val="both"/>
      </w:pPr>
    </w:p>
    <w:p w14:paraId="658768D1" w14:textId="77777777" w:rsidR="00697630" w:rsidRDefault="00B2387E" w:rsidP="00B2387E">
      <w:pPr>
        <w:pStyle w:val="BodyText"/>
        <w:spacing w:line="252" w:lineRule="exact"/>
        <w:jc w:val="both"/>
      </w:pPr>
      <w:r>
        <w:rPr>
          <w:spacing w:val="-2"/>
        </w:rPr>
        <w:t>Reasons</w:t>
      </w:r>
    </w:p>
    <w:p w14:paraId="16CD0992" w14:textId="77777777" w:rsidR="00697630" w:rsidRDefault="00B2387E" w:rsidP="00B2387E">
      <w:pPr>
        <w:pStyle w:val="BodyText"/>
        <w:spacing w:line="252" w:lineRule="exact"/>
        <w:jc w:val="both"/>
      </w:pPr>
      <w:r>
        <w:t>This</w:t>
      </w:r>
      <w:r>
        <w:rPr>
          <w:spacing w:val="-6"/>
        </w:rPr>
        <w:t xml:space="preserve"> </w:t>
      </w:r>
      <w:r>
        <w:t>differential</w:t>
      </w:r>
      <w:r>
        <w:rPr>
          <w:spacing w:val="-4"/>
        </w:rPr>
        <w:t xml:space="preserve"> </w:t>
      </w:r>
      <w:r>
        <w:t>rate</w:t>
      </w:r>
      <w:r>
        <w:rPr>
          <w:spacing w:val="-4"/>
        </w:rPr>
        <w:t xml:space="preserve"> </w:t>
      </w:r>
      <w:r>
        <w:t>is</w:t>
      </w:r>
      <w:r>
        <w:rPr>
          <w:spacing w:val="-6"/>
        </w:rPr>
        <w:t xml:space="preserve"> </w:t>
      </w:r>
      <w:r>
        <w:t>higher</w:t>
      </w:r>
      <w:r>
        <w:rPr>
          <w:spacing w:val="-5"/>
        </w:rPr>
        <w:t xml:space="preserve"> </w:t>
      </w:r>
      <w:r>
        <w:t>than</w:t>
      </w:r>
      <w:r>
        <w:rPr>
          <w:spacing w:val="-5"/>
        </w:rPr>
        <w:t xml:space="preserve"> </w:t>
      </w:r>
      <w:r>
        <w:t>UV-General</w:t>
      </w:r>
      <w:r>
        <w:rPr>
          <w:spacing w:val="-4"/>
        </w:rPr>
        <w:t xml:space="preserve"> </w:t>
      </w:r>
      <w:r>
        <w:t>to</w:t>
      </w:r>
      <w:r>
        <w:rPr>
          <w:spacing w:val="-6"/>
        </w:rPr>
        <w:t xml:space="preserve"> </w:t>
      </w:r>
      <w:r>
        <w:t>improve</w:t>
      </w:r>
      <w:r>
        <w:rPr>
          <w:spacing w:val="-6"/>
        </w:rPr>
        <w:t xml:space="preserve"> </w:t>
      </w:r>
      <w:r>
        <w:t>fairness</w:t>
      </w:r>
      <w:r>
        <w:rPr>
          <w:spacing w:val="-7"/>
        </w:rPr>
        <w:t xml:space="preserve"> </w:t>
      </w:r>
      <w:r>
        <w:t>and</w:t>
      </w:r>
      <w:r>
        <w:rPr>
          <w:spacing w:val="-4"/>
        </w:rPr>
        <w:t xml:space="preserve"> </w:t>
      </w:r>
      <w:r>
        <w:t>equity</w:t>
      </w:r>
      <w:r>
        <w:rPr>
          <w:spacing w:val="-6"/>
        </w:rPr>
        <w:t xml:space="preserve"> </w:t>
      </w:r>
      <w:r>
        <w:t>outcomes</w:t>
      </w:r>
      <w:r>
        <w:rPr>
          <w:spacing w:val="-6"/>
        </w:rPr>
        <w:t xml:space="preserve"> </w:t>
      </w:r>
      <w:r>
        <w:rPr>
          <w:spacing w:val="-5"/>
        </w:rPr>
        <w:t>by:</w:t>
      </w:r>
    </w:p>
    <w:p w14:paraId="52F4F23E" w14:textId="77777777" w:rsidR="00697630" w:rsidRDefault="00B2387E" w:rsidP="00B2387E">
      <w:pPr>
        <w:pStyle w:val="ListParagraph"/>
        <w:numPr>
          <w:ilvl w:val="0"/>
          <w:numId w:val="1"/>
        </w:numPr>
        <w:tabs>
          <w:tab w:val="left" w:pos="839"/>
          <w:tab w:val="left" w:pos="841"/>
        </w:tabs>
        <w:spacing w:before="1"/>
        <w:ind w:right="622"/>
        <w:jc w:val="both"/>
      </w:pPr>
      <w:r>
        <w:t>Applying a premium to compensate for the different valuation method and comparatively</w:t>
      </w:r>
      <w:r>
        <w:rPr>
          <w:spacing w:val="-5"/>
        </w:rPr>
        <w:t xml:space="preserve"> </w:t>
      </w:r>
      <w:r>
        <w:t>lower</w:t>
      </w:r>
      <w:r>
        <w:rPr>
          <w:spacing w:val="-2"/>
        </w:rPr>
        <w:t xml:space="preserve"> </w:t>
      </w:r>
      <w:r>
        <w:t>valuation</w:t>
      </w:r>
      <w:r>
        <w:rPr>
          <w:spacing w:val="-4"/>
        </w:rPr>
        <w:t xml:space="preserve"> </w:t>
      </w:r>
      <w:r>
        <w:t>level</w:t>
      </w:r>
      <w:r>
        <w:rPr>
          <w:spacing w:val="-4"/>
        </w:rPr>
        <w:t xml:space="preserve"> </w:t>
      </w:r>
      <w:r>
        <w:t>compared</w:t>
      </w:r>
      <w:r>
        <w:rPr>
          <w:spacing w:val="-5"/>
        </w:rPr>
        <w:t xml:space="preserve"> </w:t>
      </w:r>
      <w:r>
        <w:t>to</w:t>
      </w:r>
      <w:r>
        <w:rPr>
          <w:spacing w:val="-7"/>
        </w:rPr>
        <w:t xml:space="preserve"> </w:t>
      </w:r>
      <w:r>
        <w:t>equivalent</w:t>
      </w:r>
      <w:r>
        <w:rPr>
          <w:spacing w:val="-2"/>
        </w:rPr>
        <w:t xml:space="preserve"> </w:t>
      </w:r>
      <w:r>
        <w:t>properties</w:t>
      </w:r>
      <w:r>
        <w:rPr>
          <w:spacing w:val="-3"/>
        </w:rPr>
        <w:t xml:space="preserve"> </w:t>
      </w:r>
      <w:r>
        <w:t>in</w:t>
      </w:r>
      <w:r>
        <w:rPr>
          <w:spacing w:val="-7"/>
        </w:rPr>
        <w:t xml:space="preserve"> </w:t>
      </w:r>
      <w:r>
        <w:t xml:space="preserve">built-up </w:t>
      </w:r>
      <w:r>
        <w:rPr>
          <w:spacing w:val="-2"/>
        </w:rPr>
        <w:t>areas.</w:t>
      </w:r>
    </w:p>
    <w:p w14:paraId="19FE03F3" w14:textId="77777777" w:rsidR="00697630" w:rsidRDefault="00B2387E" w:rsidP="00B2387E">
      <w:pPr>
        <w:pStyle w:val="ListParagraph"/>
        <w:numPr>
          <w:ilvl w:val="0"/>
          <w:numId w:val="1"/>
        </w:numPr>
        <w:tabs>
          <w:tab w:val="left" w:pos="840"/>
          <w:tab w:val="left" w:pos="841"/>
        </w:tabs>
        <w:spacing w:line="268" w:lineRule="exact"/>
        <w:jc w:val="both"/>
      </w:pPr>
      <w:r>
        <w:t>Applying</w:t>
      </w:r>
      <w:r>
        <w:rPr>
          <w:spacing w:val="-2"/>
        </w:rPr>
        <w:t xml:space="preserve"> </w:t>
      </w:r>
      <w:r>
        <w:t>a</w:t>
      </w:r>
      <w:r>
        <w:rPr>
          <w:spacing w:val="-4"/>
        </w:rPr>
        <w:t xml:space="preserve"> </w:t>
      </w:r>
      <w:r>
        <w:t>premium</w:t>
      </w:r>
      <w:r>
        <w:rPr>
          <w:spacing w:val="-5"/>
        </w:rPr>
        <w:t xml:space="preserve"> </w:t>
      </w:r>
      <w:r>
        <w:t>to</w:t>
      </w:r>
      <w:r>
        <w:rPr>
          <w:spacing w:val="-6"/>
        </w:rPr>
        <w:t xml:space="preserve"> </w:t>
      </w:r>
      <w:r>
        <w:t>reflect</w:t>
      </w:r>
      <w:r>
        <w:rPr>
          <w:spacing w:val="-5"/>
        </w:rPr>
        <w:t xml:space="preserve"> </w:t>
      </w:r>
      <w:r>
        <w:t>the</w:t>
      </w:r>
      <w:r>
        <w:rPr>
          <w:spacing w:val="-6"/>
        </w:rPr>
        <w:t xml:space="preserve"> </w:t>
      </w:r>
      <w:r>
        <w:t>following</w:t>
      </w:r>
      <w:r>
        <w:rPr>
          <w:spacing w:val="-1"/>
        </w:rPr>
        <w:t xml:space="preserve"> </w:t>
      </w:r>
      <w:r>
        <w:t>key</w:t>
      </w:r>
      <w:r>
        <w:rPr>
          <w:spacing w:val="-6"/>
        </w:rPr>
        <w:t xml:space="preserve"> </w:t>
      </w:r>
      <w:r>
        <w:rPr>
          <w:spacing w:val="-2"/>
        </w:rPr>
        <w:t>points:</w:t>
      </w:r>
    </w:p>
    <w:p w14:paraId="40EA496F" w14:textId="77777777" w:rsidR="00697630" w:rsidRDefault="00B2387E" w:rsidP="00B2387E">
      <w:pPr>
        <w:pStyle w:val="ListParagraph"/>
        <w:numPr>
          <w:ilvl w:val="1"/>
          <w:numId w:val="1"/>
        </w:numPr>
        <w:tabs>
          <w:tab w:val="left" w:pos="1200"/>
          <w:tab w:val="left" w:pos="1201"/>
        </w:tabs>
        <w:ind w:right="493"/>
        <w:jc w:val="both"/>
      </w:pPr>
      <w:r>
        <w:t>A mining buffer was originally identified in 2007 to assist in accommodating bauxite and gold mining and to reduce land use conflict. The mining buffer protects mining operations from sensitive land uses and development which could</w:t>
      </w:r>
      <w:r>
        <w:rPr>
          <w:spacing w:val="-2"/>
        </w:rPr>
        <w:t xml:space="preserve"> </w:t>
      </w:r>
      <w:r>
        <w:t>prejudice</w:t>
      </w:r>
      <w:r>
        <w:rPr>
          <w:spacing w:val="-2"/>
        </w:rPr>
        <w:t xml:space="preserve"> </w:t>
      </w:r>
      <w:r>
        <w:t>the</w:t>
      </w:r>
      <w:r>
        <w:rPr>
          <w:spacing w:val="-4"/>
        </w:rPr>
        <w:t xml:space="preserve"> </w:t>
      </w:r>
      <w:r>
        <w:t>extraction</w:t>
      </w:r>
      <w:r>
        <w:rPr>
          <w:spacing w:val="-2"/>
        </w:rPr>
        <w:t xml:space="preserve"> </w:t>
      </w:r>
      <w:r>
        <w:t>(now</w:t>
      </w:r>
      <w:r>
        <w:rPr>
          <w:spacing w:val="-5"/>
        </w:rPr>
        <w:t xml:space="preserve"> </w:t>
      </w:r>
      <w:r>
        <w:t>and</w:t>
      </w:r>
      <w:r>
        <w:rPr>
          <w:spacing w:val="-2"/>
        </w:rPr>
        <w:t xml:space="preserve"> </w:t>
      </w:r>
      <w:r>
        <w:t>in</w:t>
      </w:r>
      <w:r>
        <w:rPr>
          <w:spacing w:val="-4"/>
        </w:rPr>
        <w:t xml:space="preserve"> </w:t>
      </w:r>
      <w:r>
        <w:t>the</w:t>
      </w:r>
      <w:r>
        <w:rPr>
          <w:spacing w:val="-6"/>
        </w:rPr>
        <w:t xml:space="preserve"> </w:t>
      </w:r>
      <w:r>
        <w:t>future)</w:t>
      </w:r>
      <w:r>
        <w:rPr>
          <w:spacing w:val="-3"/>
        </w:rPr>
        <w:t xml:space="preserve"> </w:t>
      </w:r>
      <w:r>
        <w:t>of mineral</w:t>
      </w:r>
      <w:r>
        <w:rPr>
          <w:spacing w:val="-5"/>
        </w:rPr>
        <w:t xml:space="preserve"> </w:t>
      </w:r>
      <w:r>
        <w:t>and</w:t>
      </w:r>
      <w:r>
        <w:rPr>
          <w:spacing w:val="-2"/>
        </w:rPr>
        <w:t xml:space="preserve"> </w:t>
      </w:r>
      <w:r>
        <w:t>basic</w:t>
      </w:r>
      <w:r>
        <w:rPr>
          <w:spacing w:val="-4"/>
        </w:rPr>
        <w:t xml:space="preserve"> </w:t>
      </w:r>
      <w:r>
        <w:t>raw material resources.</w:t>
      </w:r>
    </w:p>
    <w:p w14:paraId="770FFE17" w14:textId="77777777" w:rsidR="00697630" w:rsidRDefault="00B2387E" w:rsidP="00B2387E">
      <w:pPr>
        <w:pStyle w:val="ListParagraph"/>
        <w:numPr>
          <w:ilvl w:val="1"/>
          <w:numId w:val="1"/>
        </w:numPr>
        <w:tabs>
          <w:tab w:val="left" w:pos="1201"/>
        </w:tabs>
        <w:spacing w:before="1" w:line="237" w:lineRule="auto"/>
        <w:ind w:right="187"/>
        <w:jc w:val="both"/>
      </w:pPr>
      <w:r>
        <w:t>Mining operations have resource implications on</w:t>
      </w:r>
      <w:r>
        <w:rPr>
          <w:spacing w:val="-4"/>
        </w:rPr>
        <w:t xml:space="preserve"> </w:t>
      </w:r>
      <w:r>
        <w:t>other</w:t>
      </w:r>
      <w:r>
        <w:rPr>
          <w:spacing w:val="-1"/>
        </w:rPr>
        <w:t xml:space="preserve"> </w:t>
      </w:r>
      <w:r>
        <w:t>Shire services and</w:t>
      </w:r>
      <w:r>
        <w:rPr>
          <w:spacing w:val="-2"/>
        </w:rPr>
        <w:t xml:space="preserve"> </w:t>
      </w:r>
      <w:r>
        <w:t>assets including</w:t>
      </w:r>
      <w:r>
        <w:rPr>
          <w:spacing w:val="-3"/>
        </w:rPr>
        <w:t xml:space="preserve"> </w:t>
      </w:r>
      <w:r>
        <w:t>environmental</w:t>
      </w:r>
      <w:r>
        <w:rPr>
          <w:spacing w:val="-8"/>
        </w:rPr>
        <w:t xml:space="preserve"> </w:t>
      </w:r>
      <w:r>
        <w:t>health,</w:t>
      </w:r>
      <w:r>
        <w:rPr>
          <w:spacing w:val="-4"/>
        </w:rPr>
        <w:t xml:space="preserve"> </w:t>
      </w:r>
      <w:r>
        <w:t>emergency</w:t>
      </w:r>
      <w:r>
        <w:rPr>
          <w:spacing w:val="-8"/>
        </w:rPr>
        <w:t xml:space="preserve"> </w:t>
      </w:r>
      <w:r>
        <w:t>management,</w:t>
      </w:r>
      <w:r>
        <w:rPr>
          <w:spacing w:val="-5"/>
        </w:rPr>
        <w:t xml:space="preserve"> </w:t>
      </w:r>
      <w:r>
        <w:t>town</w:t>
      </w:r>
      <w:r>
        <w:rPr>
          <w:spacing w:val="-6"/>
        </w:rPr>
        <w:t xml:space="preserve"> </w:t>
      </w:r>
      <w:r>
        <w:t>planning</w:t>
      </w:r>
      <w:r>
        <w:rPr>
          <w:spacing w:val="-3"/>
        </w:rPr>
        <w:t xml:space="preserve"> </w:t>
      </w:r>
      <w:r>
        <w:t>services and administration.</w:t>
      </w:r>
    </w:p>
    <w:p w14:paraId="3B939F3C" w14:textId="77777777" w:rsidR="00697630" w:rsidRDefault="00B2387E" w:rsidP="00B2387E">
      <w:pPr>
        <w:pStyle w:val="ListParagraph"/>
        <w:numPr>
          <w:ilvl w:val="1"/>
          <w:numId w:val="1"/>
        </w:numPr>
        <w:tabs>
          <w:tab w:val="left" w:pos="1201"/>
        </w:tabs>
        <w:spacing w:before="5" w:line="237" w:lineRule="auto"/>
        <w:ind w:right="649"/>
        <w:jc w:val="both"/>
      </w:pPr>
      <w:r>
        <w:t>The</w:t>
      </w:r>
      <w:r>
        <w:rPr>
          <w:spacing w:val="-4"/>
        </w:rPr>
        <w:t xml:space="preserve"> </w:t>
      </w:r>
      <w:r>
        <w:t>impact of higher</w:t>
      </w:r>
      <w:r>
        <w:rPr>
          <w:spacing w:val="-3"/>
        </w:rPr>
        <w:t xml:space="preserve"> </w:t>
      </w:r>
      <w:r>
        <w:t>road</w:t>
      </w:r>
      <w:r>
        <w:rPr>
          <w:spacing w:val="-2"/>
        </w:rPr>
        <w:t xml:space="preserve"> </w:t>
      </w:r>
      <w:r>
        <w:t>infrastructure</w:t>
      </w:r>
      <w:r>
        <w:rPr>
          <w:spacing w:val="-4"/>
        </w:rPr>
        <w:t xml:space="preserve"> </w:t>
      </w:r>
      <w:r>
        <w:t>maintenance</w:t>
      </w:r>
      <w:r>
        <w:rPr>
          <w:spacing w:val="-2"/>
        </w:rPr>
        <w:t xml:space="preserve"> </w:t>
      </w:r>
      <w:r>
        <w:t>costs</w:t>
      </w:r>
      <w:r>
        <w:rPr>
          <w:spacing w:val="-4"/>
        </w:rPr>
        <w:t xml:space="preserve"> </w:t>
      </w:r>
      <w:r>
        <w:t>to</w:t>
      </w:r>
      <w:r>
        <w:rPr>
          <w:spacing w:val="-3"/>
        </w:rPr>
        <w:t xml:space="preserve"> </w:t>
      </w:r>
      <w:r>
        <w:t>the</w:t>
      </w:r>
      <w:r>
        <w:rPr>
          <w:spacing w:val="-2"/>
        </w:rPr>
        <w:t xml:space="preserve"> </w:t>
      </w:r>
      <w:r>
        <w:t>Shire</w:t>
      </w:r>
      <w:r>
        <w:rPr>
          <w:spacing w:val="-4"/>
        </w:rPr>
        <w:t xml:space="preserve"> </w:t>
      </w:r>
      <w:r>
        <w:t>as</w:t>
      </w:r>
      <w:r>
        <w:rPr>
          <w:spacing w:val="-4"/>
        </w:rPr>
        <w:t xml:space="preserve"> </w:t>
      </w:r>
      <w:r>
        <w:t>a result of frequent vehicle use over extensive lengths of roads.</w:t>
      </w:r>
    </w:p>
    <w:p w14:paraId="29508369" w14:textId="77777777" w:rsidR="00697630" w:rsidRDefault="00697630" w:rsidP="00B2387E">
      <w:pPr>
        <w:pStyle w:val="BodyText"/>
        <w:spacing w:before="9"/>
        <w:ind w:left="0"/>
        <w:jc w:val="both"/>
        <w:rPr>
          <w:sz w:val="21"/>
        </w:rPr>
      </w:pPr>
    </w:p>
    <w:p w14:paraId="10CE18FB" w14:textId="77777777" w:rsidR="00697630" w:rsidRDefault="00B2387E" w:rsidP="00B2387E">
      <w:pPr>
        <w:pStyle w:val="Heading2"/>
        <w:jc w:val="both"/>
      </w:pPr>
      <w:r>
        <w:t>UV</w:t>
      </w:r>
      <w:r>
        <w:rPr>
          <w:spacing w:val="-1"/>
        </w:rPr>
        <w:t xml:space="preserve"> </w:t>
      </w:r>
      <w:r>
        <w:t>-</w:t>
      </w:r>
      <w:r>
        <w:rPr>
          <w:spacing w:val="1"/>
        </w:rPr>
        <w:t xml:space="preserve"> </w:t>
      </w:r>
      <w:r>
        <w:rPr>
          <w:spacing w:val="-2"/>
        </w:rPr>
        <w:t>Commercial</w:t>
      </w:r>
    </w:p>
    <w:p w14:paraId="4DA113C0" w14:textId="77777777" w:rsidR="00697630" w:rsidRDefault="00B2387E" w:rsidP="00B2387E">
      <w:pPr>
        <w:pStyle w:val="BodyText"/>
        <w:spacing w:before="2"/>
        <w:jc w:val="both"/>
      </w:pPr>
      <w:r>
        <w:rPr>
          <w:spacing w:val="-2"/>
        </w:rPr>
        <w:t>Characteristics</w:t>
      </w:r>
    </w:p>
    <w:p w14:paraId="377F79ED" w14:textId="77777777" w:rsidR="00697630" w:rsidRDefault="00B2387E" w:rsidP="00B2387E">
      <w:pPr>
        <w:pStyle w:val="BodyText"/>
        <w:spacing w:before="1"/>
        <w:ind w:right="71"/>
        <w:jc w:val="both"/>
      </w:pPr>
      <w:r>
        <w:t>This</w:t>
      </w:r>
      <w:r>
        <w:rPr>
          <w:spacing w:val="-5"/>
        </w:rPr>
        <w:t xml:space="preserve"> </w:t>
      </w:r>
      <w:r>
        <w:t>rating</w:t>
      </w:r>
      <w:r>
        <w:rPr>
          <w:spacing w:val="-3"/>
        </w:rPr>
        <w:t xml:space="preserve"> </w:t>
      </w:r>
      <w:r>
        <w:t>category</w:t>
      </w:r>
      <w:r>
        <w:rPr>
          <w:spacing w:val="-5"/>
        </w:rPr>
        <w:t xml:space="preserve"> </w:t>
      </w:r>
      <w:r>
        <w:t>covers</w:t>
      </w:r>
      <w:r>
        <w:rPr>
          <w:spacing w:val="-2"/>
        </w:rPr>
        <w:t xml:space="preserve"> </w:t>
      </w:r>
      <w:r>
        <w:t>all</w:t>
      </w:r>
      <w:r>
        <w:rPr>
          <w:spacing w:val="-3"/>
        </w:rPr>
        <w:t xml:space="preserve"> </w:t>
      </w:r>
      <w:r>
        <w:t>properties</w:t>
      </w:r>
      <w:r>
        <w:rPr>
          <w:spacing w:val="-2"/>
        </w:rPr>
        <w:t xml:space="preserve"> </w:t>
      </w:r>
      <w:r>
        <w:t>with</w:t>
      </w:r>
      <w:r>
        <w:rPr>
          <w:spacing w:val="-3"/>
        </w:rPr>
        <w:t xml:space="preserve"> </w:t>
      </w:r>
      <w:r>
        <w:t>a</w:t>
      </w:r>
      <w:r>
        <w:rPr>
          <w:spacing w:val="-5"/>
        </w:rPr>
        <w:t xml:space="preserve"> </w:t>
      </w:r>
      <w:r>
        <w:t>UV</w:t>
      </w:r>
      <w:r>
        <w:rPr>
          <w:spacing w:val="-3"/>
        </w:rPr>
        <w:t xml:space="preserve"> </w:t>
      </w:r>
      <w:r>
        <w:t>valuation</w:t>
      </w:r>
      <w:r>
        <w:rPr>
          <w:spacing w:val="-3"/>
        </w:rPr>
        <w:t xml:space="preserve"> </w:t>
      </w:r>
      <w:r>
        <w:t>with</w:t>
      </w:r>
      <w:r>
        <w:rPr>
          <w:spacing w:val="-3"/>
        </w:rPr>
        <w:t xml:space="preserve"> </w:t>
      </w:r>
      <w:r>
        <w:t>any</w:t>
      </w:r>
      <w:r>
        <w:rPr>
          <w:spacing w:val="-5"/>
        </w:rPr>
        <w:t xml:space="preserve"> </w:t>
      </w:r>
      <w:r>
        <w:t>intensive</w:t>
      </w:r>
      <w:r>
        <w:rPr>
          <w:spacing w:val="-3"/>
        </w:rPr>
        <w:t xml:space="preserve"> </w:t>
      </w:r>
      <w:r>
        <w:t>usage</w:t>
      </w:r>
      <w:r>
        <w:rPr>
          <w:spacing w:val="-3"/>
        </w:rPr>
        <w:t xml:space="preserve"> </w:t>
      </w:r>
      <w:r>
        <w:t>which is significantly different from agricultural or horticultural production.</w:t>
      </w:r>
    </w:p>
    <w:p w14:paraId="30755662" w14:textId="77777777" w:rsidR="00697630" w:rsidRDefault="00697630" w:rsidP="00B2387E">
      <w:pPr>
        <w:pStyle w:val="BodyText"/>
        <w:spacing w:before="11"/>
        <w:ind w:left="0"/>
        <w:jc w:val="both"/>
        <w:rPr>
          <w:sz w:val="21"/>
        </w:rPr>
      </w:pPr>
    </w:p>
    <w:p w14:paraId="207FCCEA" w14:textId="77777777" w:rsidR="00697630" w:rsidRDefault="00B2387E" w:rsidP="00B2387E">
      <w:pPr>
        <w:pStyle w:val="BodyText"/>
        <w:spacing w:line="252" w:lineRule="exact"/>
        <w:jc w:val="both"/>
      </w:pPr>
      <w:r>
        <w:rPr>
          <w:spacing w:val="-2"/>
        </w:rPr>
        <w:t>Objects</w:t>
      </w:r>
    </w:p>
    <w:p w14:paraId="61E4E248" w14:textId="77777777" w:rsidR="00697630" w:rsidRDefault="00B2387E" w:rsidP="00B2387E">
      <w:pPr>
        <w:pStyle w:val="BodyText"/>
        <w:jc w:val="both"/>
      </w:pPr>
      <w:r>
        <w:t>This</w:t>
      </w:r>
      <w:r>
        <w:rPr>
          <w:spacing w:val="-1"/>
        </w:rPr>
        <w:t xml:space="preserve"> </w:t>
      </w:r>
      <w:r>
        <w:t>differential</w:t>
      </w:r>
      <w:r>
        <w:rPr>
          <w:spacing w:val="-2"/>
        </w:rPr>
        <w:t xml:space="preserve"> </w:t>
      </w:r>
      <w:r>
        <w:t>rate</w:t>
      </w:r>
      <w:r>
        <w:rPr>
          <w:spacing w:val="-2"/>
        </w:rPr>
        <w:t xml:space="preserve"> </w:t>
      </w:r>
      <w:r>
        <w:t>is</w:t>
      </w:r>
      <w:r>
        <w:rPr>
          <w:spacing w:val="-3"/>
        </w:rPr>
        <w:t xml:space="preserve"> </w:t>
      </w:r>
      <w:r>
        <w:t>to</w:t>
      </w:r>
      <w:r>
        <w:rPr>
          <w:spacing w:val="-3"/>
        </w:rPr>
        <w:t xml:space="preserve"> </w:t>
      </w:r>
      <w:r>
        <w:t>raise</w:t>
      </w:r>
      <w:r>
        <w:rPr>
          <w:spacing w:val="-2"/>
        </w:rPr>
        <w:t xml:space="preserve"> </w:t>
      </w:r>
      <w:r>
        <w:t>additional</w:t>
      </w:r>
      <w:r>
        <w:rPr>
          <w:spacing w:val="-2"/>
        </w:rPr>
        <w:t xml:space="preserve"> </w:t>
      </w:r>
      <w:r>
        <w:t>revenue</w:t>
      </w:r>
      <w:r>
        <w:rPr>
          <w:spacing w:val="-2"/>
        </w:rPr>
        <w:t xml:space="preserve"> </w:t>
      </w:r>
      <w:r>
        <w:t>to</w:t>
      </w:r>
      <w:r>
        <w:rPr>
          <w:spacing w:val="-5"/>
        </w:rPr>
        <w:t xml:space="preserve"> </w:t>
      </w:r>
      <w:r>
        <w:t>fund</w:t>
      </w:r>
      <w:r>
        <w:rPr>
          <w:spacing w:val="-3"/>
        </w:rPr>
        <w:t xml:space="preserve"> </w:t>
      </w:r>
      <w:r>
        <w:t>cost impacts</w:t>
      </w:r>
      <w:r>
        <w:rPr>
          <w:spacing w:val="-3"/>
        </w:rPr>
        <w:t xml:space="preserve"> </w:t>
      </w:r>
      <w:r>
        <w:t>to</w:t>
      </w:r>
      <w:r>
        <w:rPr>
          <w:spacing w:val="-3"/>
        </w:rPr>
        <w:t xml:space="preserve"> </w:t>
      </w:r>
      <w:r>
        <w:t>the</w:t>
      </w:r>
      <w:r>
        <w:rPr>
          <w:spacing w:val="-2"/>
        </w:rPr>
        <w:t xml:space="preserve"> </w:t>
      </w:r>
      <w:r>
        <w:t>Shire</w:t>
      </w:r>
      <w:r>
        <w:rPr>
          <w:spacing w:val="-3"/>
        </w:rPr>
        <w:t xml:space="preserve"> </w:t>
      </w:r>
      <w:r>
        <w:t>from</w:t>
      </w:r>
      <w:r>
        <w:rPr>
          <w:spacing w:val="-3"/>
        </w:rPr>
        <w:t xml:space="preserve"> </w:t>
      </w:r>
      <w:r>
        <w:t>this type of development.</w:t>
      </w:r>
    </w:p>
    <w:p w14:paraId="24C9C39E" w14:textId="77777777" w:rsidR="00697630" w:rsidRDefault="00697630" w:rsidP="00B2387E">
      <w:pPr>
        <w:pStyle w:val="BodyText"/>
        <w:spacing w:before="10"/>
        <w:ind w:left="0"/>
        <w:jc w:val="both"/>
        <w:rPr>
          <w:sz w:val="21"/>
        </w:rPr>
      </w:pPr>
    </w:p>
    <w:p w14:paraId="6B62479B" w14:textId="77777777" w:rsidR="00697630" w:rsidRDefault="00B2387E" w:rsidP="00B2387E">
      <w:pPr>
        <w:pStyle w:val="BodyText"/>
        <w:jc w:val="both"/>
      </w:pPr>
      <w:r>
        <w:rPr>
          <w:spacing w:val="-2"/>
        </w:rPr>
        <w:t>Reasons</w:t>
      </w:r>
    </w:p>
    <w:p w14:paraId="346202E4" w14:textId="77777777" w:rsidR="00697630" w:rsidRDefault="00B2387E" w:rsidP="00B2387E">
      <w:pPr>
        <w:pStyle w:val="BodyText"/>
        <w:spacing w:before="1"/>
        <w:jc w:val="both"/>
      </w:pPr>
      <w:r>
        <w:t>This</w:t>
      </w:r>
      <w:r>
        <w:rPr>
          <w:spacing w:val="-4"/>
        </w:rPr>
        <w:t xml:space="preserve"> </w:t>
      </w:r>
      <w:r>
        <w:t>category</w:t>
      </w:r>
      <w:r>
        <w:rPr>
          <w:spacing w:val="-4"/>
        </w:rPr>
        <w:t xml:space="preserve"> </w:t>
      </w:r>
      <w:r>
        <w:t>is</w:t>
      </w:r>
      <w:r>
        <w:rPr>
          <w:spacing w:val="-1"/>
        </w:rPr>
        <w:t xml:space="preserve"> </w:t>
      </w:r>
      <w:r>
        <w:t>rated</w:t>
      </w:r>
      <w:r>
        <w:rPr>
          <w:spacing w:val="-2"/>
        </w:rPr>
        <w:t xml:space="preserve"> </w:t>
      </w:r>
      <w:r>
        <w:t>higher</w:t>
      </w:r>
      <w:r>
        <w:rPr>
          <w:spacing w:val="-3"/>
        </w:rPr>
        <w:t xml:space="preserve"> </w:t>
      </w:r>
      <w:r>
        <w:t>to</w:t>
      </w:r>
      <w:r>
        <w:rPr>
          <w:spacing w:val="-4"/>
        </w:rPr>
        <w:t xml:space="preserve"> </w:t>
      </w:r>
      <w:r>
        <w:t>reflect</w:t>
      </w:r>
      <w:r>
        <w:rPr>
          <w:spacing w:val="-5"/>
        </w:rPr>
        <w:t xml:space="preserve"> </w:t>
      </w:r>
      <w:r>
        <w:t>the</w:t>
      </w:r>
      <w:r>
        <w:rPr>
          <w:spacing w:val="-2"/>
        </w:rPr>
        <w:t xml:space="preserve"> </w:t>
      </w:r>
      <w:r>
        <w:t>higher</w:t>
      </w:r>
      <w:r>
        <w:rPr>
          <w:spacing w:val="-5"/>
        </w:rPr>
        <w:t xml:space="preserve"> </w:t>
      </w:r>
      <w:r>
        <w:t>infrastructure</w:t>
      </w:r>
      <w:r>
        <w:rPr>
          <w:spacing w:val="-4"/>
        </w:rPr>
        <w:t xml:space="preserve"> </w:t>
      </w:r>
      <w:r>
        <w:t>maintenance</w:t>
      </w:r>
      <w:r>
        <w:rPr>
          <w:spacing w:val="-2"/>
        </w:rPr>
        <w:t xml:space="preserve"> </w:t>
      </w:r>
      <w:r>
        <w:t>required</w:t>
      </w:r>
      <w:r>
        <w:rPr>
          <w:spacing w:val="-6"/>
        </w:rPr>
        <w:t xml:space="preserve"> </w:t>
      </w:r>
      <w:r>
        <w:t>from commercial activities within a rural zone.</w:t>
      </w:r>
    </w:p>
    <w:p w14:paraId="2F15A8CA" w14:textId="77777777" w:rsidR="00697630" w:rsidRDefault="00697630" w:rsidP="00B2387E">
      <w:pPr>
        <w:jc w:val="both"/>
        <w:sectPr w:rsidR="00697630">
          <w:pgSz w:w="11910" w:h="16840"/>
          <w:pgMar w:top="1040" w:right="1320" w:bottom="280" w:left="1320" w:header="720" w:footer="720" w:gutter="0"/>
          <w:cols w:space="720"/>
        </w:sectPr>
      </w:pPr>
    </w:p>
    <w:p w14:paraId="6CF91D8E" w14:textId="1791C003" w:rsidR="00697630" w:rsidRDefault="00B2387E" w:rsidP="00B2387E">
      <w:pPr>
        <w:pStyle w:val="Heading2"/>
        <w:spacing w:before="64"/>
        <w:jc w:val="both"/>
      </w:pPr>
      <w:r>
        <w:lastRenderedPageBreak/>
        <w:t>UV</w:t>
      </w:r>
      <w:r>
        <w:rPr>
          <w:spacing w:val="-3"/>
        </w:rPr>
        <w:t xml:space="preserve"> </w:t>
      </w:r>
      <w:r>
        <w:t>–</w:t>
      </w:r>
      <w:r>
        <w:rPr>
          <w:spacing w:val="-2"/>
        </w:rPr>
        <w:t xml:space="preserve"> </w:t>
      </w:r>
      <w:r w:rsidR="00E81FFD">
        <w:t>Rural Residential</w:t>
      </w:r>
    </w:p>
    <w:p w14:paraId="2BEFB810" w14:textId="77777777" w:rsidR="00697630" w:rsidRDefault="00B2387E" w:rsidP="00B2387E">
      <w:pPr>
        <w:pStyle w:val="BodyText"/>
        <w:spacing w:before="3" w:line="252" w:lineRule="exact"/>
        <w:jc w:val="both"/>
      </w:pPr>
      <w:r>
        <w:rPr>
          <w:spacing w:val="-2"/>
        </w:rPr>
        <w:t>Characteristics</w:t>
      </w:r>
    </w:p>
    <w:p w14:paraId="267511CF" w14:textId="77777777" w:rsidR="00697630" w:rsidRDefault="00B2387E" w:rsidP="00B2387E">
      <w:pPr>
        <w:pStyle w:val="BodyText"/>
        <w:ind w:hanging="1"/>
        <w:jc w:val="both"/>
      </w:pPr>
      <w:r>
        <w:t>This</w:t>
      </w:r>
      <w:r>
        <w:rPr>
          <w:spacing w:val="40"/>
        </w:rPr>
        <w:t xml:space="preserve"> </w:t>
      </w:r>
      <w:r>
        <w:t>rating</w:t>
      </w:r>
      <w:r>
        <w:rPr>
          <w:spacing w:val="64"/>
        </w:rPr>
        <w:t xml:space="preserve"> </w:t>
      </w:r>
      <w:r>
        <w:t>category</w:t>
      </w:r>
      <w:r>
        <w:rPr>
          <w:spacing w:val="40"/>
        </w:rPr>
        <w:t xml:space="preserve"> </w:t>
      </w:r>
      <w:r>
        <w:t>covers</w:t>
      </w:r>
      <w:r>
        <w:rPr>
          <w:spacing w:val="65"/>
        </w:rPr>
        <w:t xml:space="preserve"> </w:t>
      </w:r>
      <w:r>
        <w:t>all</w:t>
      </w:r>
      <w:r>
        <w:rPr>
          <w:spacing w:val="64"/>
        </w:rPr>
        <w:t xml:space="preserve"> </w:t>
      </w:r>
      <w:r>
        <w:t>properties</w:t>
      </w:r>
      <w:r>
        <w:rPr>
          <w:spacing w:val="65"/>
        </w:rPr>
        <w:t xml:space="preserve"> </w:t>
      </w:r>
      <w:r>
        <w:t>with</w:t>
      </w:r>
      <w:r>
        <w:rPr>
          <w:spacing w:val="64"/>
        </w:rPr>
        <w:t xml:space="preserve"> </w:t>
      </w:r>
      <w:r>
        <w:t>a</w:t>
      </w:r>
      <w:r>
        <w:rPr>
          <w:spacing w:val="64"/>
        </w:rPr>
        <w:t xml:space="preserve"> </w:t>
      </w:r>
      <w:r>
        <w:t>UV</w:t>
      </w:r>
      <w:r>
        <w:rPr>
          <w:spacing w:val="40"/>
        </w:rPr>
        <w:t xml:space="preserve"> </w:t>
      </w:r>
      <w:r>
        <w:t>valuation</w:t>
      </w:r>
      <w:r>
        <w:rPr>
          <w:spacing w:val="64"/>
        </w:rPr>
        <w:t xml:space="preserve"> </w:t>
      </w:r>
      <w:r>
        <w:t>which</w:t>
      </w:r>
      <w:r>
        <w:rPr>
          <w:spacing w:val="69"/>
        </w:rPr>
        <w:t xml:space="preserve"> </w:t>
      </w:r>
      <w:r>
        <w:t>are</w:t>
      </w:r>
      <w:r>
        <w:rPr>
          <w:spacing w:val="40"/>
        </w:rPr>
        <w:t xml:space="preserve"> </w:t>
      </w:r>
      <w:r>
        <w:t>zoned</w:t>
      </w:r>
      <w:r>
        <w:rPr>
          <w:spacing w:val="64"/>
        </w:rPr>
        <w:t xml:space="preserve"> </w:t>
      </w:r>
      <w:r>
        <w:t>Rural Residential and Rural Smallholdings in the Local Planning Scheme No. 3.</w:t>
      </w:r>
    </w:p>
    <w:p w14:paraId="7438FD6D" w14:textId="77777777" w:rsidR="00697630" w:rsidRDefault="00697630" w:rsidP="00B2387E">
      <w:pPr>
        <w:pStyle w:val="BodyText"/>
        <w:spacing w:before="11"/>
        <w:ind w:left="0"/>
        <w:jc w:val="both"/>
        <w:rPr>
          <w:sz w:val="21"/>
        </w:rPr>
      </w:pPr>
    </w:p>
    <w:p w14:paraId="495F2686" w14:textId="77777777" w:rsidR="00697630" w:rsidRDefault="00B2387E" w:rsidP="00B2387E">
      <w:pPr>
        <w:pStyle w:val="BodyText"/>
        <w:jc w:val="both"/>
      </w:pPr>
      <w:r>
        <w:rPr>
          <w:spacing w:val="-2"/>
        </w:rPr>
        <w:t>Objects</w:t>
      </w:r>
    </w:p>
    <w:p w14:paraId="6255BA1F" w14:textId="77777777" w:rsidR="00697630" w:rsidRDefault="00B2387E" w:rsidP="00B2387E">
      <w:pPr>
        <w:pStyle w:val="BodyText"/>
        <w:spacing w:before="1"/>
        <w:jc w:val="both"/>
      </w:pPr>
      <w:r>
        <w:t>To</w:t>
      </w:r>
      <w:r>
        <w:rPr>
          <w:spacing w:val="-8"/>
        </w:rPr>
        <w:t xml:space="preserve"> </w:t>
      </w:r>
      <w:r>
        <w:t>raise</w:t>
      </w:r>
      <w:r>
        <w:rPr>
          <w:spacing w:val="-3"/>
        </w:rPr>
        <w:t xml:space="preserve"> </w:t>
      </w:r>
      <w:r>
        <w:t>an</w:t>
      </w:r>
      <w:r>
        <w:rPr>
          <w:spacing w:val="-5"/>
        </w:rPr>
        <w:t xml:space="preserve"> </w:t>
      </w:r>
      <w:r>
        <w:t>equitable</w:t>
      </w:r>
      <w:r>
        <w:rPr>
          <w:spacing w:val="-3"/>
        </w:rPr>
        <w:t xml:space="preserve"> </w:t>
      </w:r>
      <w:r>
        <w:t>level</w:t>
      </w:r>
      <w:r>
        <w:rPr>
          <w:spacing w:val="-3"/>
        </w:rPr>
        <w:t xml:space="preserve"> </w:t>
      </w:r>
      <w:r>
        <w:t>of</w:t>
      </w:r>
      <w:r>
        <w:rPr>
          <w:spacing w:val="-2"/>
        </w:rPr>
        <w:t xml:space="preserve"> </w:t>
      </w:r>
      <w:r>
        <w:t>rates</w:t>
      </w:r>
      <w:r>
        <w:rPr>
          <w:spacing w:val="-5"/>
        </w:rPr>
        <w:t xml:space="preserve"> </w:t>
      </w:r>
      <w:r>
        <w:t>in</w:t>
      </w:r>
      <w:r>
        <w:rPr>
          <w:spacing w:val="-3"/>
        </w:rPr>
        <w:t xml:space="preserve"> </w:t>
      </w:r>
      <w:r>
        <w:t>comparison</w:t>
      </w:r>
      <w:r>
        <w:rPr>
          <w:spacing w:val="-5"/>
        </w:rPr>
        <w:t xml:space="preserve"> </w:t>
      </w:r>
      <w:r>
        <w:t>to</w:t>
      </w:r>
      <w:r>
        <w:rPr>
          <w:spacing w:val="-5"/>
        </w:rPr>
        <w:t xml:space="preserve"> </w:t>
      </w:r>
      <w:r>
        <w:t xml:space="preserve">other </w:t>
      </w:r>
      <w:r>
        <w:rPr>
          <w:spacing w:val="-2"/>
        </w:rPr>
        <w:t>categories.</w:t>
      </w:r>
    </w:p>
    <w:p w14:paraId="0DD21021" w14:textId="77777777" w:rsidR="00697630" w:rsidRDefault="00697630" w:rsidP="00B2387E">
      <w:pPr>
        <w:pStyle w:val="BodyText"/>
        <w:ind w:left="0"/>
        <w:jc w:val="both"/>
      </w:pPr>
    </w:p>
    <w:p w14:paraId="4EC185CC" w14:textId="77777777" w:rsidR="00697630" w:rsidRDefault="00B2387E" w:rsidP="00B2387E">
      <w:pPr>
        <w:pStyle w:val="BodyText"/>
        <w:spacing w:line="252" w:lineRule="exact"/>
        <w:jc w:val="both"/>
      </w:pPr>
      <w:r>
        <w:rPr>
          <w:spacing w:val="-2"/>
        </w:rPr>
        <w:t>Reasons</w:t>
      </w:r>
    </w:p>
    <w:p w14:paraId="7136CBB5" w14:textId="038500F3" w:rsidR="00697630" w:rsidRDefault="00B2387E" w:rsidP="0048543C">
      <w:pPr>
        <w:pStyle w:val="BodyText"/>
        <w:jc w:val="both"/>
      </w:pPr>
      <w:r>
        <w:t>This</w:t>
      </w:r>
      <w:r>
        <w:rPr>
          <w:spacing w:val="-6"/>
        </w:rPr>
        <w:t xml:space="preserve"> </w:t>
      </w:r>
      <w:r>
        <w:t>category</w:t>
      </w:r>
      <w:r>
        <w:rPr>
          <w:spacing w:val="-8"/>
        </w:rPr>
        <w:t xml:space="preserve"> </w:t>
      </w:r>
      <w:r>
        <w:t>has</w:t>
      </w:r>
      <w:r>
        <w:rPr>
          <w:spacing w:val="-6"/>
        </w:rPr>
        <w:t xml:space="preserve"> </w:t>
      </w:r>
      <w:r>
        <w:t>a</w:t>
      </w:r>
      <w:r>
        <w:rPr>
          <w:spacing w:val="-6"/>
        </w:rPr>
        <w:t xml:space="preserve"> </w:t>
      </w:r>
      <w:r>
        <w:t>higher</w:t>
      </w:r>
      <w:r>
        <w:rPr>
          <w:spacing w:val="-5"/>
        </w:rPr>
        <w:t xml:space="preserve"> </w:t>
      </w:r>
      <w:r>
        <w:t>rate</w:t>
      </w:r>
      <w:r>
        <w:rPr>
          <w:spacing w:val="-6"/>
        </w:rPr>
        <w:t xml:space="preserve"> </w:t>
      </w:r>
      <w:r>
        <w:t>in</w:t>
      </w:r>
      <w:r>
        <w:rPr>
          <w:spacing w:val="-6"/>
        </w:rPr>
        <w:t xml:space="preserve"> </w:t>
      </w:r>
      <w:r>
        <w:t>the</w:t>
      </w:r>
      <w:r>
        <w:rPr>
          <w:spacing w:val="-6"/>
        </w:rPr>
        <w:t xml:space="preserve"> </w:t>
      </w:r>
      <w:r>
        <w:t>dollar</w:t>
      </w:r>
      <w:r>
        <w:rPr>
          <w:spacing w:val="-8"/>
        </w:rPr>
        <w:t xml:space="preserve"> </w:t>
      </w:r>
      <w:r>
        <w:t>than</w:t>
      </w:r>
      <w:r>
        <w:rPr>
          <w:spacing w:val="-9"/>
        </w:rPr>
        <w:t xml:space="preserve"> </w:t>
      </w:r>
      <w:r>
        <w:t>UV</w:t>
      </w:r>
      <w:r>
        <w:rPr>
          <w:spacing w:val="-7"/>
        </w:rPr>
        <w:t xml:space="preserve"> </w:t>
      </w:r>
      <w:r>
        <w:t>General</w:t>
      </w:r>
      <w:r>
        <w:rPr>
          <w:spacing w:val="-7"/>
        </w:rPr>
        <w:t xml:space="preserve"> </w:t>
      </w:r>
      <w:r>
        <w:t>to</w:t>
      </w:r>
      <w:r>
        <w:rPr>
          <w:spacing w:val="-9"/>
        </w:rPr>
        <w:t xml:space="preserve"> </w:t>
      </w:r>
      <w:r w:rsidR="0048543C">
        <w:rPr>
          <w:spacing w:val="-9"/>
        </w:rPr>
        <w:t xml:space="preserve">ensure that all properties can be rated equitably, </w:t>
      </w:r>
      <w:r w:rsidR="00777773">
        <w:rPr>
          <w:spacing w:val="-9"/>
        </w:rPr>
        <w:t>including</w:t>
      </w:r>
      <w:r w:rsidR="0048543C">
        <w:rPr>
          <w:spacing w:val="-9"/>
        </w:rPr>
        <w:t xml:space="preserve"> the ability to have a consistent minimum rate across all categories. </w:t>
      </w:r>
    </w:p>
    <w:p w14:paraId="5E31CE78" w14:textId="77777777" w:rsidR="00697630" w:rsidRDefault="00697630" w:rsidP="00B2387E">
      <w:pPr>
        <w:pStyle w:val="BodyText"/>
        <w:spacing w:before="6"/>
        <w:ind w:left="0"/>
        <w:jc w:val="both"/>
        <w:rPr>
          <w:sz w:val="25"/>
        </w:rPr>
      </w:pPr>
    </w:p>
    <w:p w14:paraId="37CACB34" w14:textId="77777777" w:rsidR="00697630" w:rsidRPr="00B2387E" w:rsidRDefault="00B2387E" w:rsidP="00B2387E">
      <w:pPr>
        <w:pStyle w:val="Heading2"/>
        <w:jc w:val="both"/>
        <w:rPr>
          <w:color w:val="1F497D" w:themeColor="text2"/>
          <w:sz w:val="24"/>
          <w:szCs w:val="24"/>
        </w:rPr>
      </w:pPr>
      <w:bookmarkStart w:id="4" w:name="Minimum_Payments"/>
      <w:bookmarkEnd w:id="4"/>
      <w:r w:rsidRPr="00B2387E">
        <w:rPr>
          <w:color w:val="1F497D" w:themeColor="text2"/>
          <w:sz w:val="24"/>
          <w:szCs w:val="24"/>
        </w:rPr>
        <w:t>Minimum Payments</w:t>
      </w:r>
    </w:p>
    <w:p w14:paraId="79E25C29" w14:textId="5D61241F" w:rsidR="00697630" w:rsidRDefault="00B2387E" w:rsidP="00B2387E">
      <w:pPr>
        <w:pStyle w:val="BodyText"/>
        <w:spacing w:before="23" w:line="256" w:lineRule="auto"/>
        <w:ind w:left="119" w:right="120"/>
        <w:jc w:val="both"/>
      </w:pPr>
      <w:r>
        <w:t>The setting of general minimum payment level within all rating categories is an important method of ensuring all properties contribute an equitable rate amount to non-exclusive services. The mini</w:t>
      </w:r>
      <w:r w:rsidR="00547365">
        <w:t>mum payment has been set at $</w:t>
      </w:r>
      <w:r w:rsidR="00003B2D">
        <w:t>1</w:t>
      </w:r>
      <w:r w:rsidR="00FE7EB6">
        <w:t>,</w:t>
      </w:r>
      <w:r w:rsidR="00003B2D">
        <w:t>002</w:t>
      </w:r>
      <w:r>
        <w:t xml:space="preserve"> for all rating categories.</w:t>
      </w:r>
    </w:p>
    <w:sectPr w:rsidR="00697630">
      <w:pgSz w:w="11910" w:h="16840"/>
      <w:pgMar w:top="13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43DA"/>
    <w:multiLevelType w:val="hybridMultilevel"/>
    <w:tmpl w:val="8DDCD38E"/>
    <w:lvl w:ilvl="0" w:tplc="93F2341A">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49EA2A72">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BCCA202A">
      <w:numFmt w:val="bullet"/>
      <w:lvlText w:val="•"/>
      <w:lvlJc w:val="left"/>
      <w:pPr>
        <w:ind w:left="2096" w:hanging="361"/>
      </w:pPr>
      <w:rPr>
        <w:rFonts w:hint="default"/>
        <w:lang w:val="en-US" w:eastAsia="en-US" w:bidi="ar-SA"/>
      </w:rPr>
    </w:lvl>
    <w:lvl w:ilvl="3" w:tplc="342C0B98">
      <w:numFmt w:val="bullet"/>
      <w:lvlText w:val="•"/>
      <w:lvlJc w:val="left"/>
      <w:pPr>
        <w:ind w:left="2992" w:hanging="361"/>
      </w:pPr>
      <w:rPr>
        <w:rFonts w:hint="default"/>
        <w:lang w:val="en-US" w:eastAsia="en-US" w:bidi="ar-SA"/>
      </w:rPr>
    </w:lvl>
    <w:lvl w:ilvl="4" w:tplc="37F8AB2E">
      <w:numFmt w:val="bullet"/>
      <w:lvlText w:val="•"/>
      <w:lvlJc w:val="left"/>
      <w:pPr>
        <w:ind w:left="3888" w:hanging="361"/>
      </w:pPr>
      <w:rPr>
        <w:rFonts w:hint="default"/>
        <w:lang w:val="en-US" w:eastAsia="en-US" w:bidi="ar-SA"/>
      </w:rPr>
    </w:lvl>
    <w:lvl w:ilvl="5" w:tplc="83C835AC">
      <w:numFmt w:val="bullet"/>
      <w:lvlText w:val="•"/>
      <w:lvlJc w:val="left"/>
      <w:pPr>
        <w:ind w:left="4785" w:hanging="361"/>
      </w:pPr>
      <w:rPr>
        <w:rFonts w:hint="default"/>
        <w:lang w:val="en-US" w:eastAsia="en-US" w:bidi="ar-SA"/>
      </w:rPr>
    </w:lvl>
    <w:lvl w:ilvl="6" w:tplc="5080D8AA">
      <w:numFmt w:val="bullet"/>
      <w:lvlText w:val="•"/>
      <w:lvlJc w:val="left"/>
      <w:pPr>
        <w:ind w:left="5681" w:hanging="361"/>
      </w:pPr>
      <w:rPr>
        <w:rFonts w:hint="default"/>
        <w:lang w:val="en-US" w:eastAsia="en-US" w:bidi="ar-SA"/>
      </w:rPr>
    </w:lvl>
    <w:lvl w:ilvl="7" w:tplc="8F96153E">
      <w:numFmt w:val="bullet"/>
      <w:lvlText w:val="•"/>
      <w:lvlJc w:val="left"/>
      <w:pPr>
        <w:ind w:left="6577" w:hanging="361"/>
      </w:pPr>
      <w:rPr>
        <w:rFonts w:hint="default"/>
        <w:lang w:val="en-US" w:eastAsia="en-US" w:bidi="ar-SA"/>
      </w:rPr>
    </w:lvl>
    <w:lvl w:ilvl="8" w:tplc="3FA8638A">
      <w:numFmt w:val="bullet"/>
      <w:lvlText w:val="•"/>
      <w:lvlJc w:val="left"/>
      <w:pPr>
        <w:ind w:left="7473"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630"/>
    <w:rsid w:val="00003B2D"/>
    <w:rsid w:val="00421442"/>
    <w:rsid w:val="0048543C"/>
    <w:rsid w:val="00547365"/>
    <w:rsid w:val="00697630"/>
    <w:rsid w:val="00777773"/>
    <w:rsid w:val="00B2387E"/>
    <w:rsid w:val="00B9409D"/>
    <w:rsid w:val="00BE0AD4"/>
    <w:rsid w:val="00E81FFD"/>
    <w:rsid w:val="00EE5622"/>
    <w:rsid w:val="00FE7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8F9EE"/>
  <w15:docId w15:val="{EE2B04F1-7087-4300-B913-E860246B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jc w:val="both"/>
      <w:outlineLvl w:val="0"/>
    </w:pPr>
    <w:rPr>
      <w:b/>
      <w:bCs/>
      <w:sz w:val="24"/>
      <w:szCs w:val="24"/>
    </w:rPr>
  </w:style>
  <w:style w:type="paragraph" w:styleId="Heading2">
    <w:name w:val="heading 2"/>
    <w:basedOn w:val="Normal"/>
    <w:uiPriority w:val="1"/>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Title">
    <w:name w:val="Title"/>
    <w:basedOn w:val="Normal"/>
    <w:uiPriority w:val="1"/>
    <w:qFormat/>
    <w:pPr>
      <w:spacing w:before="73"/>
      <w:ind w:left="120"/>
      <w:jc w:val="both"/>
    </w:pPr>
    <w:rPr>
      <w:b/>
      <w:bCs/>
      <w:sz w:val="28"/>
      <w:szCs w:val="28"/>
    </w:rPr>
  </w:style>
  <w:style w:type="paragraph" w:styleId="ListParagraph">
    <w:name w:val="List Paragraph"/>
    <w:basedOn w:val="Normal"/>
    <w:uiPriority w:val="1"/>
    <w:qFormat/>
    <w:pPr>
      <w:ind w:left="1200" w:hanging="361"/>
    </w:pPr>
  </w:style>
  <w:style w:type="paragraph" w:customStyle="1" w:styleId="TableParagraph">
    <w:name w:val="Table Paragraph"/>
    <w:basedOn w:val="Normal"/>
    <w:uiPriority w:val="1"/>
    <w:qFormat/>
    <w:pPr>
      <w:spacing w:line="232" w:lineRule="exact"/>
      <w:ind w:left="107"/>
      <w:jc w:val="center"/>
    </w:pPr>
  </w:style>
  <w:style w:type="character" w:styleId="CommentReference">
    <w:name w:val="annotation reference"/>
    <w:basedOn w:val="DefaultParagraphFont"/>
    <w:uiPriority w:val="99"/>
    <w:semiHidden/>
    <w:unhideWhenUsed/>
    <w:rsid w:val="00421442"/>
    <w:rPr>
      <w:sz w:val="16"/>
      <w:szCs w:val="16"/>
    </w:rPr>
  </w:style>
  <w:style w:type="paragraph" w:styleId="CommentText">
    <w:name w:val="annotation text"/>
    <w:basedOn w:val="Normal"/>
    <w:link w:val="CommentTextChar"/>
    <w:uiPriority w:val="99"/>
    <w:semiHidden/>
    <w:unhideWhenUsed/>
    <w:rsid w:val="00421442"/>
    <w:rPr>
      <w:sz w:val="20"/>
      <w:szCs w:val="20"/>
    </w:rPr>
  </w:style>
  <w:style w:type="character" w:customStyle="1" w:styleId="CommentTextChar">
    <w:name w:val="Comment Text Char"/>
    <w:basedOn w:val="DefaultParagraphFont"/>
    <w:link w:val="CommentText"/>
    <w:uiPriority w:val="99"/>
    <w:semiHidden/>
    <w:rsid w:val="0042144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21442"/>
    <w:rPr>
      <w:b/>
      <w:bCs/>
    </w:rPr>
  </w:style>
  <w:style w:type="character" w:customStyle="1" w:styleId="CommentSubjectChar">
    <w:name w:val="Comment Subject Char"/>
    <w:basedOn w:val="CommentTextChar"/>
    <w:link w:val="CommentSubject"/>
    <w:uiPriority w:val="99"/>
    <w:semiHidden/>
    <w:rsid w:val="00421442"/>
    <w:rPr>
      <w:rFonts w:ascii="Arial" w:eastAsia="Arial" w:hAnsi="Arial" w:cs="Arial"/>
      <w:b/>
      <w:bCs/>
      <w:sz w:val="20"/>
      <w:szCs w:val="20"/>
    </w:rPr>
  </w:style>
  <w:style w:type="paragraph" w:styleId="BalloonText">
    <w:name w:val="Balloon Text"/>
    <w:basedOn w:val="Normal"/>
    <w:link w:val="BalloonTextChar"/>
    <w:uiPriority w:val="99"/>
    <w:semiHidden/>
    <w:unhideWhenUsed/>
    <w:rsid w:val="004214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442"/>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SOBT, Shire, Shire of Boddington</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Burton</dc:creator>
  <dc:description/>
  <cp:lastModifiedBy>Julie Burton</cp:lastModifiedBy>
  <cp:revision>6</cp:revision>
  <dcterms:created xsi:type="dcterms:W3CDTF">2024-06-19T04:26:00Z</dcterms:created>
  <dcterms:modified xsi:type="dcterms:W3CDTF">2024-07-18T13:54:00Z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Acrobat PDFMaker 21 for Word</vt:lpwstr>
  </property>
  <property fmtid="{D5CDD505-2E9C-101B-9397-08002B2CF9AE}" pid="4" name="LastSaved">
    <vt:filetime>2023-06-08T00:00:00Z</vt:filetime>
  </property>
  <property fmtid="{D5CDD505-2E9C-101B-9397-08002B2CF9AE}" pid="5" name="Producer">
    <vt:lpwstr>Adobe PDF Library 21.7.131</vt:lpwstr>
  </property>
  <property fmtid="{D5CDD505-2E9C-101B-9397-08002B2CF9AE}" pid="6" name="SourceModified">
    <vt:lpwstr>D:20220610042010</vt:lpwstr>
  </property>
</Properties>
</file>